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71" w:rsidRPr="00522712" w:rsidRDefault="003B4E34">
      <w:pPr>
        <w:spacing w:after="120"/>
        <w:jc w:val="center"/>
        <w:rPr>
          <w:b/>
          <w:sz w:val="18"/>
          <w:szCs w:val="18"/>
        </w:rPr>
      </w:pPr>
      <w:r w:rsidRPr="006E7F37">
        <w:rPr>
          <w:b/>
          <w:sz w:val="18"/>
          <w:szCs w:val="18"/>
        </w:rPr>
        <w:t>D</w:t>
      </w:r>
      <w:r w:rsidR="00FC6EC5" w:rsidRPr="006E7F37">
        <w:rPr>
          <w:b/>
          <w:sz w:val="18"/>
          <w:szCs w:val="18"/>
        </w:rPr>
        <w:t xml:space="preserve">ECLARAÇÃO DE </w:t>
      </w:r>
      <w:r w:rsidRPr="006E7F37">
        <w:rPr>
          <w:b/>
          <w:sz w:val="18"/>
          <w:szCs w:val="18"/>
        </w:rPr>
        <w:t>I</w:t>
      </w:r>
      <w:r w:rsidR="00FC6EC5" w:rsidRPr="006E7F37">
        <w:rPr>
          <w:b/>
          <w:sz w:val="18"/>
          <w:szCs w:val="18"/>
        </w:rPr>
        <w:t xml:space="preserve">MPACTE </w:t>
      </w:r>
      <w:r w:rsidRPr="006E7F37">
        <w:rPr>
          <w:b/>
          <w:sz w:val="18"/>
          <w:szCs w:val="18"/>
        </w:rPr>
        <w:t>A</w:t>
      </w:r>
      <w:r w:rsidR="00FC6EC5" w:rsidRPr="006E7F37">
        <w:rPr>
          <w:b/>
          <w:sz w:val="18"/>
          <w:szCs w:val="18"/>
        </w:rPr>
        <w:t>MBIENTAL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400"/>
        <w:gridCol w:w="1961"/>
        <w:gridCol w:w="439"/>
        <w:gridCol w:w="2400"/>
      </w:tblGrid>
      <w:tr w:rsidR="003B4E34" w:rsidRPr="00522712">
        <w:trPr>
          <w:trHeight w:val="284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3B4E34" w:rsidRPr="00522712" w:rsidRDefault="003B4E34" w:rsidP="001F1BE7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Identificação</w:t>
            </w:r>
          </w:p>
        </w:tc>
      </w:tr>
      <w:tr w:rsidR="003B4E34" w:rsidRPr="00522712" w:rsidTr="002E1FF3">
        <w:trPr>
          <w:trHeight w:val="29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 xml:space="preserve">Designação do </w:t>
            </w:r>
            <w:r w:rsidR="00F24B11" w:rsidRPr="00522712">
              <w:rPr>
                <w:rFonts w:cs="Arial"/>
                <w:b/>
                <w:sz w:val="18"/>
                <w:szCs w:val="18"/>
              </w:rPr>
              <w:t>Projeto</w:t>
            </w:r>
            <w:r w:rsidRPr="0052271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4"/>
            <w:vAlign w:val="center"/>
          </w:tcPr>
          <w:p w:rsidR="00E35349" w:rsidRPr="00522712" w:rsidRDefault="00C41EB0" w:rsidP="00E35349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Pedreira nº 20743 “Portela das Salgueiras”</w:t>
            </w:r>
          </w:p>
        </w:tc>
      </w:tr>
      <w:tr w:rsidR="003B4E34" w:rsidRPr="00522712" w:rsidTr="002E1FF3">
        <w:trPr>
          <w:trHeight w:val="29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 xml:space="preserve">Tipologia de </w:t>
            </w:r>
            <w:r w:rsidR="00F24B11" w:rsidRPr="00522712">
              <w:rPr>
                <w:rFonts w:cs="Arial"/>
                <w:b/>
                <w:sz w:val="18"/>
                <w:szCs w:val="18"/>
              </w:rPr>
              <w:t>Projeto</w:t>
            </w:r>
            <w:r w:rsidRPr="0052271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400" w:type="dxa"/>
            <w:vAlign w:val="center"/>
          </w:tcPr>
          <w:p w:rsidR="009C4532" w:rsidRPr="00522712" w:rsidRDefault="00C41EB0" w:rsidP="00A71E86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Alínea a) e b) do nº 2 do Anexo II, do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Decreto Lei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nº 151-B/2013, de 31 de outubro</w:t>
            </w:r>
          </w:p>
        </w:tc>
        <w:tc>
          <w:tcPr>
            <w:tcW w:w="2400" w:type="dxa"/>
            <w:gridSpan w:val="2"/>
            <w:shd w:val="clear" w:color="auto" w:fill="D9D9D9"/>
            <w:vAlign w:val="center"/>
          </w:tcPr>
          <w:p w:rsidR="003B4E34" w:rsidRPr="00522712" w:rsidRDefault="003B4E34" w:rsidP="00E35349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Fase em que se encontra o Projeto:</w:t>
            </w:r>
          </w:p>
        </w:tc>
        <w:tc>
          <w:tcPr>
            <w:tcW w:w="2400" w:type="dxa"/>
            <w:vAlign w:val="center"/>
          </w:tcPr>
          <w:p w:rsidR="00A71E86" w:rsidRPr="00522712" w:rsidRDefault="00264320" w:rsidP="00A71E86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C41EB0">
              <w:rPr>
                <w:rFonts w:cs="Arial"/>
                <w:sz w:val="18"/>
                <w:szCs w:val="18"/>
              </w:rPr>
              <w:t>Projeto de E</w:t>
            </w:r>
            <w:r w:rsidR="00465E82" w:rsidRPr="00C41EB0">
              <w:rPr>
                <w:rFonts w:cs="Arial"/>
                <w:sz w:val="18"/>
                <w:szCs w:val="18"/>
              </w:rPr>
              <w:t>xecução</w:t>
            </w:r>
          </w:p>
        </w:tc>
      </w:tr>
      <w:tr w:rsidR="003B4E34" w:rsidRPr="00522712" w:rsidTr="002E1FF3">
        <w:trPr>
          <w:trHeight w:val="41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Localização:</w:t>
            </w:r>
          </w:p>
        </w:tc>
        <w:tc>
          <w:tcPr>
            <w:tcW w:w="7200" w:type="dxa"/>
            <w:gridSpan w:val="4"/>
            <w:vAlign w:val="center"/>
          </w:tcPr>
          <w:p w:rsidR="00E35349" w:rsidRPr="00E35349" w:rsidRDefault="00C41EB0" w:rsidP="00E35349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Portela das Salgueiras, Alcobertas, Rio Maior</w:t>
            </w:r>
          </w:p>
        </w:tc>
      </w:tr>
      <w:tr w:rsidR="003B4E34" w:rsidRPr="00516CE0" w:rsidTr="002E1FF3">
        <w:trPr>
          <w:trHeight w:val="29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Proponente:</w:t>
            </w:r>
          </w:p>
        </w:tc>
        <w:tc>
          <w:tcPr>
            <w:tcW w:w="7200" w:type="dxa"/>
            <w:gridSpan w:val="4"/>
            <w:vAlign w:val="center"/>
          </w:tcPr>
          <w:p w:rsidR="00E35349" w:rsidRPr="00C41EB0" w:rsidRDefault="00C41EB0" w:rsidP="00E35349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2E52D9">
              <w:rPr>
                <w:rFonts w:ascii="Calibri" w:hAnsi="Calibri" w:cs="Arial"/>
                <w:sz w:val="20"/>
                <w:szCs w:val="20"/>
                <w:lang w:val="en-US"/>
              </w:rPr>
              <w:t>Ruipedra World Natural Stone, S.A.</w:t>
            </w:r>
          </w:p>
        </w:tc>
      </w:tr>
      <w:tr w:rsidR="003B4E34" w:rsidRPr="00522712" w:rsidTr="002E1FF3">
        <w:trPr>
          <w:trHeight w:val="292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Entidade licenciadora:</w:t>
            </w:r>
          </w:p>
        </w:tc>
        <w:tc>
          <w:tcPr>
            <w:tcW w:w="7200" w:type="dxa"/>
            <w:gridSpan w:val="4"/>
            <w:vAlign w:val="center"/>
          </w:tcPr>
          <w:p w:rsidR="00E35349" w:rsidRPr="00E35349" w:rsidRDefault="00C41EB0" w:rsidP="00E35349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 LVT</w:t>
            </w:r>
          </w:p>
        </w:tc>
      </w:tr>
      <w:tr w:rsidR="003B4E34" w:rsidRPr="00522712" w:rsidTr="002E1FF3">
        <w:trPr>
          <w:trHeight w:val="355"/>
        </w:trPr>
        <w:tc>
          <w:tcPr>
            <w:tcW w:w="2520" w:type="dxa"/>
            <w:shd w:val="clear" w:color="auto" w:fill="D9D9D9"/>
            <w:vAlign w:val="center"/>
          </w:tcPr>
          <w:p w:rsidR="003B4E34" w:rsidRPr="00522712" w:rsidRDefault="003B4E34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Autoridade de AIA:</w:t>
            </w:r>
          </w:p>
        </w:tc>
        <w:tc>
          <w:tcPr>
            <w:tcW w:w="4361" w:type="dxa"/>
            <w:gridSpan w:val="2"/>
            <w:vAlign w:val="center"/>
          </w:tcPr>
          <w:p w:rsidR="00E35349" w:rsidRPr="00BC3147" w:rsidRDefault="00C41EB0" w:rsidP="001F1BE7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CCDR LVT</w:t>
            </w:r>
          </w:p>
        </w:tc>
        <w:tc>
          <w:tcPr>
            <w:tcW w:w="2839" w:type="dxa"/>
            <w:gridSpan w:val="2"/>
            <w:shd w:val="clear" w:color="auto" w:fill="D9D9D9"/>
            <w:vAlign w:val="center"/>
          </w:tcPr>
          <w:p w:rsidR="003B4E34" w:rsidRPr="00522712" w:rsidRDefault="003B4E34" w:rsidP="00F64B65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6452ED">
              <w:rPr>
                <w:rFonts w:cs="Arial"/>
                <w:b/>
                <w:sz w:val="18"/>
                <w:szCs w:val="18"/>
              </w:rPr>
              <w:t>Data:</w:t>
            </w:r>
            <w:r w:rsidR="00F64B65">
              <w:rPr>
                <w:rFonts w:cs="Arial"/>
                <w:b/>
                <w:sz w:val="18"/>
                <w:szCs w:val="18"/>
              </w:rPr>
              <w:t>20</w:t>
            </w:r>
            <w:r w:rsidR="00791FB2" w:rsidRPr="00F34596">
              <w:rPr>
                <w:rFonts w:cs="Arial"/>
                <w:b/>
                <w:sz w:val="18"/>
                <w:szCs w:val="18"/>
              </w:rPr>
              <w:t xml:space="preserve"> de </w:t>
            </w:r>
            <w:r w:rsidR="00A57E3E">
              <w:rPr>
                <w:rFonts w:cs="Arial"/>
                <w:b/>
                <w:sz w:val="18"/>
                <w:szCs w:val="18"/>
              </w:rPr>
              <w:t>maio</w:t>
            </w:r>
            <w:r w:rsidR="00791FB2" w:rsidRPr="00F34596">
              <w:rPr>
                <w:rFonts w:cs="Arial"/>
                <w:b/>
                <w:sz w:val="18"/>
                <w:szCs w:val="18"/>
              </w:rPr>
              <w:t xml:space="preserve"> de 201</w:t>
            </w:r>
            <w:r w:rsidR="00C41EB0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:rsidR="003B4E34" w:rsidRPr="00522712" w:rsidRDefault="003B4E34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522712">
        <w:trPr>
          <w:cantSplit/>
          <w:trHeight w:val="284"/>
        </w:trPr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BC3147" w:rsidRDefault="003B4E34" w:rsidP="001F1BE7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BC3147">
              <w:rPr>
                <w:rFonts w:cs="Arial"/>
                <w:b/>
                <w:sz w:val="18"/>
                <w:szCs w:val="18"/>
              </w:rPr>
              <w:t>Decisão: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E34" w:rsidRPr="00BC3147" w:rsidRDefault="001D03FD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rect id="_x0000_s1026" style="position:absolute;margin-left:9.5pt;margin-top:5.3pt;width:9pt;height:9pt;z-index:251656704;mso-position-horizontal-relative:text;mso-position-vertical-relative:text"/>
              </w:pict>
            </w:r>
            <w:r w:rsidR="003B4E34" w:rsidRPr="00BC3147">
              <w:rPr>
                <w:rFonts w:cs="Arial"/>
                <w:b/>
                <w:sz w:val="18"/>
                <w:szCs w:val="18"/>
              </w:rPr>
              <w:t xml:space="preserve">          Favorável</w:t>
            </w:r>
          </w:p>
        </w:tc>
      </w:tr>
      <w:tr w:rsidR="003B4E34" w:rsidRPr="00522712">
        <w:trPr>
          <w:cantSplit/>
          <w:trHeight w:val="284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BC3147" w:rsidRDefault="003B4E34" w:rsidP="001F1BE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E34" w:rsidRPr="00BC3147" w:rsidRDefault="001D03FD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rect id="_x0000_s1029" style="position:absolute;margin-left:9.65pt;margin-top:6.15pt;width:9pt;height:9pt;z-index:251658752;mso-position-horizontal-relative:text;mso-position-vertical-relative:text" fillcolor="black"/>
              </w:pict>
            </w:r>
            <w:r w:rsidR="003B4E34" w:rsidRPr="00BC3147">
              <w:rPr>
                <w:rFonts w:cs="Arial"/>
                <w:b/>
                <w:sz w:val="18"/>
                <w:szCs w:val="18"/>
              </w:rPr>
              <w:t xml:space="preserve">          Favorável Condicionada</w:t>
            </w:r>
          </w:p>
        </w:tc>
      </w:tr>
      <w:tr w:rsidR="003B4E34" w:rsidRPr="00522712">
        <w:trPr>
          <w:cantSplit/>
          <w:trHeight w:val="284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BC3147" w:rsidRDefault="003B4E34" w:rsidP="001F1BE7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E34" w:rsidRPr="00BC3147" w:rsidRDefault="001D03FD" w:rsidP="001F1BE7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>
                <v:rect id="_x0000_s1028" style="position:absolute;margin-left:9.4pt;margin-top:6.65pt;width:9pt;height:9pt;z-index:251657728;mso-position-horizontal-relative:text;mso-position-vertical-relative:text"/>
              </w:pict>
            </w:r>
            <w:r w:rsidR="003B4E34" w:rsidRPr="00BC3147">
              <w:rPr>
                <w:rFonts w:cs="Arial"/>
                <w:b/>
                <w:sz w:val="18"/>
                <w:szCs w:val="18"/>
              </w:rPr>
              <w:t xml:space="preserve">          Desfavorável</w:t>
            </w:r>
          </w:p>
        </w:tc>
      </w:tr>
    </w:tbl>
    <w:p w:rsidR="00895B77" w:rsidRPr="00522712" w:rsidRDefault="00895B77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522712" w:rsidTr="00C51D7A">
        <w:trPr>
          <w:trHeight w:val="4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522712" w:rsidRDefault="003B4E34" w:rsidP="006E7F37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  <w:highlight w:val="yellow"/>
              </w:rPr>
            </w:pPr>
            <w:r w:rsidRPr="00522712">
              <w:rPr>
                <w:rFonts w:cs="Arial"/>
                <w:b/>
                <w:noProof/>
                <w:sz w:val="18"/>
                <w:szCs w:val="18"/>
              </w:rPr>
              <w:t xml:space="preserve">Condicionantes da </w:t>
            </w:r>
            <w:r w:rsidRPr="006E7F37">
              <w:rPr>
                <w:rFonts w:cs="Arial"/>
                <w:b/>
                <w:noProof/>
                <w:sz w:val="18"/>
                <w:szCs w:val="18"/>
              </w:rPr>
              <w:t>DIA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49" w:rsidRPr="004D71C5" w:rsidRDefault="0001570F" w:rsidP="0001570F">
            <w:pPr>
              <w:pStyle w:val="NormalMCB"/>
              <w:spacing w:before="120" w:after="120"/>
              <w:ind w:left="142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71C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1. Cumprimento do Regulamento do Plano de Intervenção em Espaço Rural que vier a ser aprovado;</w:t>
            </w:r>
          </w:p>
          <w:p w:rsidR="0001570F" w:rsidRPr="004D71C5" w:rsidRDefault="0001570F" w:rsidP="0001570F">
            <w:pPr>
              <w:pStyle w:val="NormalMCB"/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71C5">
              <w:rPr>
                <w:rFonts w:asciiTheme="minorHAnsi" w:hAnsiTheme="minorHAnsi" w:cs="Arial"/>
                <w:color w:val="000000"/>
                <w:sz w:val="22"/>
                <w:szCs w:val="22"/>
              </w:rPr>
              <w:t>2. Adaptação do Plano de Pedreira ao Projeto Integrado que vier a ser aprovado;</w:t>
            </w:r>
          </w:p>
          <w:p w:rsidR="0001570F" w:rsidRPr="004D71C5" w:rsidRDefault="0001570F" w:rsidP="0001570F">
            <w:pPr>
              <w:pStyle w:val="NormalMCB"/>
              <w:spacing w:before="120" w:after="120"/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71C5">
              <w:rPr>
                <w:rFonts w:asciiTheme="minorHAnsi" w:hAnsiTheme="minorHAnsi" w:cs="Arial"/>
                <w:color w:val="000000"/>
                <w:sz w:val="22"/>
                <w:szCs w:val="22"/>
              </w:rPr>
              <w:t>3. Cumprimento das medidas de minimização e planos de monitorização.</w:t>
            </w:r>
          </w:p>
        </w:tc>
      </w:tr>
    </w:tbl>
    <w:p w:rsidR="00F64503" w:rsidRDefault="00F64503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F64503" w:rsidRPr="00522712" w:rsidTr="00FB15AA">
        <w:trPr>
          <w:trHeight w:val="342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4503" w:rsidRPr="00522712" w:rsidRDefault="00791FB2" w:rsidP="00791F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Elementos a apresentar</w:t>
            </w:r>
            <w:r w:rsidR="0001570F">
              <w:rPr>
                <w:rFonts w:cs="Arial"/>
                <w:b/>
                <w:sz w:val="18"/>
                <w:szCs w:val="18"/>
              </w:rPr>
              <w:t xml:space="preserve"> à Entidade licenciadora em sede de licenciamento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97" w:rsidRPr="00527597" w:rsidRDefault="009C2B8A" w:rsidP="00527597">
            <w:pPr>
              <w:spacing w:before="120" w:after="120" w:line="360" w:lineRule="auto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Apresentação de c</w:t>
            </w:r>
            <w:r w:rsidR="00527597" w:rsidRPr="00527597">
              <w:rPr>
                <w:rFonts w:asciiTheme="minorHAnsi" w:hAnsiTheme="minorHAnsi" w:cs="Arial"/>
                <w:color w:val="000000"/>
                <w:szCs w:val="22"/>
              </w:rPr>
              <w:t>omprovativo de autorização emitida pela DGPC para a realização dos trabalhos de acompanhamento arqueológico da fase de exploração.</w:t>
            </w:r>
          </w:p>
        </w:tc>
      </w:tr>
    </w:tbl>
    <w:p w:rsidR="00A71E86" w:rsidRDefault="00A71E86">
      <w:pPr>
        <w:spacing w:before="0"/>
        <w:jc w:val="center"/>
        <w:rPr>
          <w:sz w:val="18"/>
          <w:szCs w:val="18"/>
          <w:highlight w:val="yellow"/>
        </w:rPr>
      </w:pPr>
    </w:p>
    <w:p w:rsidR="00F64503" w:rsidRPr="00522712" w:rsidRDefault="00A71E86">
      <w:pPr>
        <w:spacing w:before="0"/>
        <w:jc w:val="center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br w:type="page"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3B4E34" w:rsidRPr="00522712">
        <w:trPr>
          <w:trHeight w:val="286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522712" w:rsidRDefault="009B4654" w:rsidP="00F23ACE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lastRenderedPageBreak/>
              <w:t>Outras c</w:t>
            </w:r>
            <w:r w:rsidR="003B4E34" w:rsidRPr="00522712">
              <w:rPr>
                <w:rFonts w:cs="Arial"/>
                <w:b/>
                <w:noProof/>
                <w:sz w:val="18"/>
                <w:szCs w:val="18"/>
              </w:rPr>
              <w:t>ondições para licenciamento ou autorização do projecto:</w:t>
            </w:r>
          </w:p>
        </w:tc>
      </w:tr>
      <w:tr w:rsidR="003B4E34" w:rsidRPr="00522712">
        <w:trPr>
          <w:trHeight w:val="293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E34" w:rsidRPr="00522712" w:rsidRDefault="003B4E34" w:rsidP="00F23ACE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522712">
              <w:rPr>
                <w:rFonts w:cs="Arial"/>
                <w:b/>
                <w:sz w:val="18"/>
                <w:szCs w:val="18"/>
              </w:rPr>
              <w:t>Medidas de minimização</w:t>
            </w:r>
          </w:p>
        </w:tc>
      </w:tr>
      <w:tr w:rsidR="008275E4" w:rsidRPr="00522712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E4" w:rsidRPr="008275E4" w:rsidRDefault="006E7F37" w:rsidP="006E7F37">
            <w:pPr>
              <w:pStyle w:val="Corpodetexto22"/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Fase de exploração</w:t>
            </w:r>
          </w:p>
        </w:tc>
      </w:tr>
      <w:tr w:rsidR="00E35349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49" w:rsidRPr="00C7432C" w:rsidRDefault="006E7F37" w:rsidP="00D246F8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hAnsiTheme="minorHAnsi" w:cs="Calibri"/>
                <w:color w:val="000000"/>
                <w:szCs w:val="22"/>
              </w:rPr>
              <w:t>1. Efetuar acompanhamento geológico presencial, por técnicos habilitados para o efeito, nas fases de desmatação e decapagem superficial do terreno e de todas as etapas de exploração que envolvam mobilização de sedimentos (escavação, revolvimento e depósito de inertes), de modo a identificar eventuais elementos geológicos que possam constituir valores geológicos com interesse patrimonial.</w:t>
            </w:r>
          </w:p>
        </w:tc>
      </w:tr>
      <w:tr w:rsidR="00E35349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49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hAnsiTheme="minorHAnsi" w:cs="Arial"/>
                <w:bCs/>
                <w:color w:val="000000"/>
                <w:szCs w:val="22"/>
              </w:rPr>
              <w:t>2.</w:t>
            </w:r>
            <w:r w:rsidRPr="00C7432C">
              <w:rPr>
                <w:rFonts w:asciiTheme="minorHAnsi" w:hAnsiTheme="minorHAnsi" w:cs="Calibri"/>
                <w:szCs w:val="22"/>
              </w:rPr>
              <w:t xml:space="preserve"> Se no decorrer da exploração da pedreira forem identificadas cavidades cársicas, comunicar à DGPC por forma a poder avaliar-se o seu interesse espeleo-arqueológico.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hAnsiTheme="minorHAnsi" w:cs="Calibri"/>
                <w:color w:val="000000"/>
                <w:szCs w:val="22"/>
              </w:rPr>
              <w:t>3.</w:t>
            </w:r>
            <w:r w:rsidR="00A570E5">
              <w:rPr>
                <w:rFonts w:asciiTheme="minorHAnsi" w:hAnsiTheme="minorHAnsi" w:cs="Calibri"/>
                <w:color w:val="000000"/>
                <w:szCs w:val="22"/>
              </w:rPr>
              <w:t xml:space="preserve"> </w:t>
            </w:r>
            <w:r w:rsidRPr="00C7432C">
              <w:rPr>
                <w:rFonts w:asciiTheme="minorHAnsi" w:hAnsiTheme="minorHAnsi" w:cs="Calibri"/>
                <w:color w:val="000000"/>
                <w:szCs w:val="22"/>
              </w:rPr>
              <w:t>Deverão limitar-se as zonas de circulação na envolvente da exploração por forma a evitar a compactação dos terrenos limítrofes que não se encontrem em exploração, utilizando os acessos já existentes.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hAnsiTheme="minorHAnsi" w:cs="Calibri"/>
                <w:color w:val="000000"/>
                <w:szCs w:val="22"/>
              </w:rPr>
              <w:t>4.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 Implementar valas de drenagem em zonas onde o terreno natural, contíguo à área da pedreira apresente cotas mais baixas, onde se verifique existir o risco de arrastamento de materiais para o exterior da pedreira.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5.</w:t>
            </w:r>
            <w:r w:rsidR="00A570E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>Garantir a adequada manutenção do estado de limpeza dos órgãos de drenagem pluvial, nomeadamente das valas a instalar na periferia das áreas de escavação, e dos acessos às zonas de trabalhos.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6.</w:t>
            </w:r>
            <w:r w:rsidR="00A570E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As águas captadas devem ser conduzidas para uma bacia de decantação antes do seu encaminhamento para a rede de drenagem natural.  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A570E5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eastAsia="Lucida Sans Unicode" w:hAnsiTheme="minorHAnsi" w:cs="Calibri"/>
                <w:szCs w:val="22"/>
              </w:rPr>
              <w:t xml:space="preserve">7. </w:t>
            </w:r>
            <w:r w:rsidR="006E7F37" w:rsidRPr="00C7432C">
              <w:rPr>
                <w:rFonts w:asciiTheme="minorHAnsi" w:eastAsia="Lucida Sans Unicode" w:hAnsiTheme="minorHAnsi" w:cs="Calibri"/>
                <w:szCs w:val="22"/>
              </w:rPr>
              <w:t>Bombear as águas acumuladas no fundo da área de corta e das águas acumuladas nas câmaras subterrâneas para fora da zona de escavação, para posterior tratamento destas por separação de óleos e gorduras e decantação e posterior descarga nos terrenos confinantes à área de exploração.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6E7F37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8.</w:t>
            </w:r>
            <w:r w:rsidR="00A570E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>Constr</w:t>
            </w:r>
            <w:r w:rsidR="00D246F8">
              <w:rPr>
                <w:rFonts w:asciiTheme="minorHAnsi" w:eastAsia="Lucida Sans Unicode" w:hAnsiTheme="minorHAnsi" w:cs="Calibri"/>
                <w:szCs w:val="22"/>
              </w:rPr>
              <w:t>uir uma fossa estanque com pelo menos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 20m</w:t>
            </w:r>
            <w:r w:rsidRPr="00C7432C">
              <w:rPr>
                <w:rFonts w:asciiTheme="minorHAnsi" w:eastAsia="Lucida Sans Unicode" w:hAnsiTheme="minorHAnsi" w:cs="Calibri"/>
                <w:szCs w:val="22"/>
                <w:vertAlign w:val="superscript"/>
              </w:rPr>
              <w:t>3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 de capacidade.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ED60FD" w:rsidP="00A570E5">
            <w:pPr>
              <w:autoSpaceDE w:val="0"/>
              <w:autoSpaceDN w:val="0"/>
              <w:adjustRightInd w:val="0"/>
              <w:spacing w:before="120" w:after="120" w:line="360" w:lineRule="auto"/>
              <w:ind w:left="252" w:hanging="252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9.</w:t>
            </w:r>
            <w:r w:rsidR="00A570E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="006E7F37" w:rsidRPr="00C7432C">
              <w:rPr>
                <w:rFonts w:asciiTheme="minorHAnsi" w:eastAsia="Lucida Sans Unicode" w:hAnsiTheme="minorHAnsi" w:cs="Calibri"/>
                <w:szCs w:val="22"/>
              </w:rPr>
              <w:t>Assegurar a manutenção e revisão periódicas da fossa séptica estanque.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ED60FD" w:rsidP="00D246F8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eastAsia="Lucida Sans Unicode" w:hAnsiTheme="minorHAnsi" w:cs="Calibri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10.</w:t>
            </w:r>
            <w:r w:rsidR="007A07DF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Manter acessíveis os comprovativos da recolha dos efluentes da fossa estanquem, por entidade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lastRenderedPageBreak/>
              <w:t>licenciada</w:t>
            </w:r>
            <w:r w:rsidR="00D246F8">
              <w:rPr>
                <w:rFonts w:asciiTheme="minorHAnsi" w:eastAsia="Lucida Sans Unicode" w:hAnsiTheme="minorHAnsi" w:cs="Calibri"/>
                <w:szCs w:val="22"/>
              </w:rPr>
              <w:t>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ED60FD" w:rsidP="007A07DF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lastRenderedPageBreak/>
              <w:t>11.</w:t>
            </w:r>
            <w:r w:rsidR="00A570E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>Comunicar à APA, I.P./ARH do Tejo e Oeste a ocorrência de singularidades cársicas sempre que estas ocorram, por forma a identificar possíveis fontes de contaminação dos aquíferos.</w:t>
            </w:r>
          </w:p>
        </w:tc>
      </w:tr>
      <w:tr w:rsidR="006E7F37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37" w:rsidRPr="00C7432C" w:rsidRDefault="00A570E5" w:rsidP="004D71C5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12</w:t>
            </w:r>
            <w:r>
              <w:rPr>
                <w:rFonts w:asciiTheme="minorHAnsi" w:eastAsia="Lucida Sans Unicode" w:hAnsiTheme="minorHAnsi" w:cs="Calibri"/>
                <w:szCs w:val="22"/>
              </w:rPr>
              <w:t xml:space="preserve">. </w:t>
            </w:r>
            <w:r w:rsidR="00ED60FD" w:rsidRPr="00C7432C">
              <w:rPr>
                <w:rFonts w:asciiTheme="minorHAnsi" w:eastAsia="Lucida Sans Unicode" w:hAnsiTheme="minorHAnsi" w:cs="Calibri"/>
                <w:szCs w:val="22"/>
              </w:rPr>
              <w:t xml:space="preserve">Implementar </w:t>
            </w:r>
            <w:r w:rsidR="0081354D" w:rsidRPr="004D71C5">
              <w:rPr>
                <w:rFonts w:asciiTheme="minorHAnsi" w:eastAsia="Lucida Sans Unicode" w:hAnsiTheme="minorHAnsi" w:cs="Calibri"/>
                <w:szCs w:val="22"/>
              </w:rPr>
              <w:t>um plano</w:t>
            </w:r>
            <w:r w:rsidR="0081354D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="00ED60FD" w:rsidRPr="00C7432C">
              <w:rPr>
                <w:rFonts w:asciiTheme="minorHAnsi" w:eastAsia="Lucida Sans Unicode" w:hAnsiTheme="minorHAnsi" w:cs="Calibri"/>
                <w:szCs w:val="22"/>
              </w:rPr>
              <w:t>uma correta gestão e manuseamento dos r</w:t>
            </w:r>
            <w:r w:rsidR="00D246F8">
              <w:rPr>
                <w:rFonts w:asciiTheme="minorHAnsi" w:eastAsia="Lucida Sans Unicode" w:hAnsiTheme="minorHAnsi" w:cs="Calibri"/>
                <w:szCs w:val="22"/>
              </w:rPr>
              <w:t>esíduos e efluentes</w:t>
            </w:r>
            <w:r w:rsidR="00ED60FD" w:rsidRPr="00C7432C">
              <w:rPr>
                <w:rFonts w:asciiTheme="minorHAnsi" w:eastAsia="Lucida Sans Unicode" w:hAnsiTheme="minorHAnsi" w:cs="Calibri"/>
                <w:szCs w:val="22"/>
              </w:rPr>
              <w:t>, nomeadamente, óleos e combustíveis, resíduos sólidos e águas residuais, através da sua recolha e condução a depósito/destino final apropriado devidamente credenciado, reduzindo, assim, a possibilidade de ocorrência de acidentes e contaminações.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4D71C5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eastAsia="Lucida Sans Unicode" w:hAnsiTheme="minorHAnsi" w:cs="Calibri"/>
                <w:szCs w:val="22"/>
              </w:rPr>
            </w:pPr>
            <w:r w:rsidRPr="00C7432C">
              <w:rPr>
                <w:rFonts w:asciiTheme="minorHAnsi" w:eastAsia="Lucida Sans Unicode" w:hAnsiTheme="minorHAnsi" w:cs="Calibri"/>
                <w:szCs w:val="22"/>
              </w:rPr>
              <w:t>13.</w:t>
            </w:r>
            <w:r w:rsidR="004D71C5">
              <w:rPr>
                <w:rFonts w:asciiTheme="minorHAnsi" w:eastAsia="Lucida Sans Unicode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>Remove</w:t>
            </w:r>
            <w:r w:rsidRPr="004D71C5">
              <w:rPr>
                <w:rFonts w:asciiTheme="minorHAnsi" w:eastAsia="Lucida Sans Unicode" w:hAnsiTheme="minorHAnsi" w:cs="Calibri"/>
                <w:szCs w:val="22"/>
              </w:rPr>
              <w:t>r</w:t>
            </w:r>
            <w:r w:rsidR="008F7852" w:rsidRPr="004D71C5">
              <w:rPr>
                <w:rFonts w:asciiTheme="minorHAnsi" w:eastAsia="Lucida Sans Unicode" w:hAnsiTheme="minorHAnsi" w:cs="Calibri"/>
                <w:szCs w:val="22"/>
              </w:rPr>
              <w:t>,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 de modo controlado</w:t>
            </w:r>
            <w:r w:rsidR="00FC759A" w:rsidRPr="004D71C5">
              <w:rPr>
                <w:rFonts w:asciiTheme="minorHAnsi" w:eastAsia="Lucida Sans Unicode" w:hAnsiTheme="minorHAnsi" w:cs="Calibri"/>
                <w:szCs w:val="22"/>
              </w:rPr>
              <w:t>,</w:t>
            </w:r>
            <w:r w:rsidRPr="00C7432C">
              <w:rPr>
                <w:rFonts w:asciiTheme="minorHAnsi" w:eastAsia="Lucida Sans Unicode" w:hAnsiTheme="minorHAnsi" w:cs="Calibri"/>
                <w:szCs w:val="22"/>
              </w:rPr>
              <w:t xml:space="preserve"> todos os despojos resultantes das ações de desmatação, corte ou decote de árvores, devendo a sua eliminação por utilização de queimadas ser realizada de forma controlada e fora do período crítico de incêndios florestais.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5B6D74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hAnsiTheme="minorHAnsi" w:cs="Calibri"/>
                <w:color w:val="000000"/>
                <w:szCs w:val="22"/>
              </w:rPr>
              <w:t>14.</w:t>
            </w:r>
            <w:r w:rsidR="004D71C5">
              <w:rPr>
                <w:rFonts w:asciiTheme="minorHAnsi" w:hAnsiTheme="minorHAnsi" w:cs="Calibri"/>
                <w:color w:val="000000"/>
                <w:szCs w:val="22"/>
              </w:rPr>
              <w:t xml:space="preserve"> </w:t>
            </w:r>
            <w:r w:rsidRPr="004D71C5">
              <w:rPr>
                <w:rFonts w:asciiTheme="minorHAnsi" w:hAnsiTheme="minorHAnsi" w:cs="Calibri"/>
                <w:color w:val="000000"/>
                <w:szCs w:val="22"/>
              </w:rPr>
              <w:t>Efetuar</w:t>
            </w:r>
            <w:r w:rsidR="00E4297C" w:rsidRPr="004D71C5">
              <w:rPr>
                <w:rFonts w:asciiTheme="minorHAnsi" w:hAnsiTheme="minorHAnsi" w:cs="Calibri"/>
                <w:color w:val="000000"/>
                <w:szCs w:val="22"/>
              </w:rPr>
              <w:t xml:space="preserve"> a</w:t>
            </w:r>
            <w:r w:rsidRPr="004D71C5">
              <w:rPr>
                <w:rFonts w:asciiTheme="minorHAnsi" w:hAnsiTheme="minorHAnsi" w:cs="Calibri"/>
                <w:color w:val="000000"/>
                <w:szCs w:val="22"/>
              </w:rPr>
              <w:t xml:space="preserve"> rega</w:t>
            </w:r>
            <w:r w:rsidRPr="00C7432C">
              <w:rPr>
                <w:rFonts w:asciiTheme="minorHAnsi" w:hAnsiTheme="minorHAnsi" w:cs="Calibri"/>
                <w:color w:val="000000"/>
                <w:szCs w:val="22"/>
              </w:rPr>
              <w:t xml:space="preserve"> regular e sistemática nos percursos e área de trabalho</w:t>
            </w:r>
            <w:r w:rsidR="005B6D74">
              <w:rPr>
                <w:rFonts w:asciiTheme="minorHAnsi" w:hAnsiTheme="minorHAnsi" w:cs="Calibri"/>
                <w:color w:val="000000"/>
                <w:szCs w:val="22"/>
              </w:rPr>
              <w:t xml:space="preserve"> com vista a reduzir</w:t>
            </w:r>
            <w:r w:rsidRPr="00C7432C">
              <w:rPr>
                <w:rFonts w:asciiTheme="minorHAnsi" w:hAnsiTheme="minorHAnsi" w:cs="Calibri"/>
                <w:color w:val="000000"/>
                <w:szCs w:val="22"/>
              </w:rPr>
              <w:t xml:space="preserve"> poeiras em suspensão.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7A07DF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eastAsia="Lucida Sans Unicode" w:hAnsiTheme="minorHAnsi" w:cs="Calibri"/>
                <w:szCs w:val="22"/>
              </w:rPr>
            </w:pP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>15.</w:t>
            </w:r>
            <w:r w:rsidR="004D71C5">
              <w:rPr>
                <w:rFonts w:asciiTheme="minorHAnsi" w:eastAsia="Calibri" w:hAnsiTheme="minorHAnsi" w:cs="Arial"/>
                <w:color w:val="000000"/>
                <w:szCs w:val="22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>Garantir a limpeza regular dos acessos e da área interna da pedreira, de forma a evitar a acumulação e ressuspensão de poeiras, quer por ação do vento, quer por ação da circulação de veículos e de equipamentos de obra.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7A07DF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hAnsiTheme="minorHAnsi" w:cs="Calibri"/>
                <w:color w:val="000000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>16.</w:t>
            </w:r>
            <w:r w:rsidR="00A570E5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Proceder à manutenção e revisão periódica de todas as máquinas e veículos, de forma a manter as normais condições de funcionamento, visando o cumprimento das normas relativas à emissão de poluentes atmosféricos e ruído.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7A07DF">
            <w:pPr>
              <w:autoSpaceDE w:val="0"/>
              <w:autoSpaceDN w:val="0"/>
              <w:adjustRightInd w:val="0"/>
              <w:spacing w:before="120" w:after="120" w:line="360" w:lineRule="auto"/>
              <w:ind w:left="394" w:hanging="394"/>
              <w:rPr>
                <w:rFonts w:asciiTheme="minorHAnsi" w:eastAsia="Lucida Sans Unicode" w:hAnsiTheme="minorHAnsi" w:cs="Calibri"/>
                <w:szCs w:val="22"/>
              </w:rPr>
            </w:pP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>17.</w:t>
            </w:r>
            <w:r w:rsidR="00A570E5">
              <w:rPr>
                <w:rFonts w:asciiTheme="minorHAnsi" w:eastAsia="Calibri" w:hAnsiTheme="minorHAnsi" w:cs="Arial"/>
                <w:color w:val="000000"/>
                <w:szCs w:val="22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>Garantir que o transporte de materiais se efetua de forma acondicionada, evitando a emissão de poeiras ao longo do seu percurso.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4D71C5">
            <w:pPr>
              <w:spacing w:before="120" w:after="120" w:line="360" w:lineRule="auto"/>
              <w:ind w:left="394" w:hanging="394"/>
              <w:rPr>
                <w:rFonts w:asciiTheme="minorHAnsi" w:eastAsia="Calibri" w:hAnsiTheme="minorHAnsi" w:cs="Arial"/>
                <w:color w:val="000000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>18.</w:t>
            </w:r>
            <w:r w:rsidR="00A570E5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A velocidade dos veículos pesados</w:t>
            </w:r>
            <w:r w:rsidR="005B6D74">
              <w:rPr>
                <w:rFonts w:asciiTheme="minorHAnsi" w:eastAsia="Calibri" w:hAnsiTheme="minorHAnsi" w:cs="Arial"/>
                <w:szCs w:val="22"/>
              </w:rPr>
              <w:t>,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 principalmente em vias não pavimentadas e n</w:t>
            </w: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>a travessia de zonas habitadas deve</w:t>
            </w:r>
            <w:r w:rsidRPr="004D71C5">
              <w:rPr>
                <w:rFonts w:asciiTheme="minorHAnsi" w:eastAsia="Calibri" w:hAnsiTheme="minorHAnsi" w:cs="Arial"/>
                <w:color w:val="000000"/>
                <w:szCs w:val="22"/>
              </w:rPr>
              <w:t>r</w:t>
            </w:r>
            <w:r w:rsidR="00E4297C" w:rsidRPr="004D71C5">
              <w:rPr>
                <w:rFonts w:asciiTheme="minorHAnsi" w:eastAsia="Calibri" w:hAnsiTheme="minorHAnsi" w:cs="Arial"/>
                <w:color w:val="000000"/>
                <w:szCs w:val="22"/>
              </w:rPr>
              <w:t>á</w:t>
            </w:r>
            <w:r w:rsidRPr="00C7432C">
              <w:rPr>
                <w:rFonts w:asciiTheme="minorHAnsi" w:eastAsia="Calibri" w:hAnsiTheme="minorHAnsi" w:cs="Arial"/>
                <w:color w:val="000000"/>
                <w:szCs w:val="22"/>
              </w:rPr>
              <w:t xml:space="preserve"> ser moderada, de forma a minimizar a emissão de poeiras. 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7A07DF">
            <w:pPr>
              <w:spacing w:before="120" w:after="120" w:line="360" w:lineRule="auto"/>
              <w:ind w:left="394" w:hanging="394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hAnsiTheme="minorHAnsi" w:cs="Calibri"/>
                <w:szCs w:val="22"/>
              </w:rPr>
              <w:t>19.</w:t>
            </w:r>
            <w:r w:rsidR="00A570E5">
              <w:rPr>
                <w:rFonts w:asciiTheme="minorHAnsi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hAnsiTheme="minorHAnsi" w:cs="Calibri"/>
                <w:szCs w:val="22"/>
              </w:rPr>
              <w:t>Evitar a passagem pelo interior das localidades, nas horas de maior trânsito local.</w:t>
            </w:r>
          </w:p>
        </w:tc>
      </w:tr>
      <w:tr w:rsidR="00ED60FD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FD" w:rsidRPr="00C7432C" w:rsidRDefault="00ED60FD" w:rsidP="007A07DF">
            <w:pPr>
              <w:spacing w:before="120" w:after="120" w:line="360" w:lineRule="auto"/>
              <w:ind w:left="394" w:hanging="394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hAnsiTheme="minorHAnsi" w:cs="Symbol"/>
                <w:szCs w:val="22"/>
              </w:rPr>
              <w:t>20.</w:t>
            </w:r>
            <w:r w:rsidR="00A570E5">
              <w:rPr>
                <w:rFonts w:asciiTheme="minorHAnsi" w:hAnsiTheme="minorHAnsi" w:cs="Symbol"/>
                <w:szCs w:val="22"/>
              </w:rPr>
              <w:t xml:space="preserve"> </w:t>
            </w:r>
            <w:r w:rsidRPr="00C7432C">
              <w:rPr>
                <w:rFonts w:asciiTheme="minorHAnsi" w:hAnsiTheme="minorHAnsi" w:cs="Symbol"/>
                <w:szCs w:val="22"/>
              </w:rPr>
              <w:t>Assegurar</w:t>
            </w:r>
            <w:r w:rsidRPr="00C7432C">
              <w:rPr>
                <w:rFonts w:asciiTheme="minorHAnsi" w:hAnsiTheme="minorHAnsi" w:cs="Calibri"/>
                <w:szCs w:val="22"/>
              </w:rPr>
              <w:t xml:space="preserve"> que os caminhos ou acessos nas imediações da área do projeto não fiquem obstruídos ou em más condições, possibilitando a sua normal utilização por parte da população local</w:t>
            </w:r>
          </w:p>
        </w:tc>
      </w:tr>
      <w:tr w:rsidR="003B4E34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4" w:rsidRPr="00C7432C" w:rsidRDefault="008275E4" w:rsidP="007A07DF">
            <w:pPr>
              <w:pStyle w:val="NormalMCB"/>
              <w:spacing w:before="120" w:after="120" w:line="240" w:lineRule="auto"/>
              <w:ind w:left="394" w:hanging="39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sz w:val="22"/>
                <w:szCs w:val="22"/>
              </w:rPr>
              <w:t>Fase de desativação</w:t>
            </w:r>
          </w:p>
        </w:tc>
      </w:tr>
      <w:tr w:rsidR="008275E4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E4" w:rsidRPr="00C7432C" w:rsidRDefault="00ED60FD" w:rsidP="007A07DF">
            <w:pPr>
              <w:spacing w:before="120" w:after="120" w:line="360" w:lineRule="auto"/>
              <w:ind w:left="394" w:hanging="394"/>
              <w:rPr>
                <w:rFonts w:asciiTheme="minorHAnsi" w:hAnsiTheme="minorHAnsi" w:cs="Arial"/>
                <w:szCs w:val="22"/>
              </w:rPr>
            </w:pPr>
            <w:r w:rsidRPr="00C7432C">
              <w:rPr>
                <w:rFonts w:asciiTheme="minorHAnsi" w:hAnsiTheme="minorHAnsi" w:cs="Arial"/>
                <w:szCs w:val="22"/>
              </w:rPr>
              <w:lastRenderedPageBreak/>
              <w:t>21.</w:t>
            </w:r>
            <w:r w:rsidR="00A570E5">
              <w:rPr>
                <w:rFonts w:asciiTheme="minorHAnsi" w:hAnsiTheme="minorHAnsi" w:cs="Arial"/>
                <w:szCs w:val="22"/>
              </w:rPr>
              <w:t xml:space="preserve"> </w:t>
            </w:r>
            <w:r w:rsidRPr="00C7432C">
              <w:rPr>
                <w:rFonts w:asciiTheme="minorHAnsi" w:hAnsiTheme="minorHAnsi" w:cs="Arial"/>
                <w:szCs w:val="22"/>
              </w:rPr>
              <w:t>Proceder ao desmantelamento e à remoção do equipamento existente por forma a garantir que este será reutilizado ou reciclado ou, na sua impossibilidade, enviado para destino final adequado.</w:t>
            </w:r>
          </w:p>
        </w:tc>
      </w:tr>
      <w:tr w:rsidR="007B087C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7C" w:rsidRPr="00C7432C" w:rsidRDefault="00003D45" w:rsidP="007A07DF">
            <w:pPr>
              <w:pStyle w:val="Corpodetexto22"/>
              <w:overflowPunct/>
              <w:autoSpaceDE/>
              <w:autoSpaceDN/>
              <w:adjustRightInd/>
              <w:spacing w:before="120" w:after="120" w:line="240" w:lineRule="auto"/>
              <w:ind w:left="394" w:hanging="394"/>
              <w:textAlignment w:val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C7432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22.</w:t>
            </w:r>
            <w:r w:rsidR="007B087C" w:rsidRPr="00C7432C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C7432C">
              <w:rPr>
                <w:rFonts w:asciiTheme="minorHAnsi" w:hAnsiTheme="minorHAnsi" w:cs="Arial"/>
                <w:sz w:val="22"/>
                <w:szCs w:val="22"/>
              </w:rPr>
              <w:t xml:space="preserve">Remoção e limpeza de todos os depósitos de resíduos ou substâncias perigosas (fossa estanque, tanques de depósito de óleos, depósito de combustíveis, etc.), garantindo o seu adequado encaminhamento para </w:t>
            </w:r>
            <w:proofErr w:type="gramStart"/>
            <w:r w:rsidRPr="00C7432C">
              <w:rPr>
                <w:rFonts w:asciiTheme="minorHAnsi" w:hAnsiTheme="minorHAnsi" w:cs="Arial"/>
                <w:sz w:val="22"/>
                <w:szCs w:val="22"/>
              </w:rPr>
              <w:t>destino</w:t>
            </w:r>
            <w:proofErr w:type="gramEnd"/>
            <w:r w:rsidRPr="00C7432C">
              <w:rPr>
                <w:rFonts w:asciiTheme="minorHAnsi" w:hAnsiTheme="minorHAnsi" w:cs="Arial"/>
                <w:sz w:val="22"/>
                <w:szCs w:val="22"/>
              </w:rPr>
              <w:t xml:space="preserve"> final</w:t>
            </w:r>
          </w:p>
        </w:tc>
      </w:tr>
      <w:tr w:rsidR="00003D45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45" w:rsidRPr="00C7432C" w:rsidRDefault="00003D45" w:rsidP="004D71C5">
            <w:pPr>
              <w:pStyle w:val="Corpodetexto22"/>
              <w:overflowPunct/>
              <w:autoSpaceDE/>
              <w:autoSpaceDN/>
              <w:adjustRightInd/>
              <w:spacing w:before="120" w:after="120" w:line="240" w:lineRule="auto"/>
              <w:ind w:left="394" w:hanging="394"/>
              <w:textAlignment w:val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7432C">
              <w:rPr>
                <w:rFonts w:asciiTheme="minorHAnsi" w:hAnsiTheme="minorHAnsi" w:cs="Arial"/>
                <w:sz w:val="22"/>
                <w:szCs w:val="22"/>
              </w:rPr>
              <w:t>23.</w:t>
            </w:r>
            <w:r w:rsidR="00A570E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7432C">
              <w:rPr>
                <w:rFonts w:asciiTheme="minorHAnsi" w:hAnsiTheme="minorHAnsi" w:cs="Arial"/>
                <w:sz w:val="22"/>
                <w:szCs w:val="22"/>
              </w:rPr>
              <w:t>Garantir que todas as áreas afetadas pela exploração da pedreira e atividades associadas</w:t>
            </w:r>
            <w:proofErr w:type="gramStart"/>
            <w:r w:rsidRPr="00C7432C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C7432C">
              <w:rPr>
                <w:rFonts w:asciiTheme="minorHAnsi" w:hAnsiTheme="minorHAnsi" w:cs="Arial"/>
                <w:sz w:val="22"/>
                <w:szCs w:val="22"/>
              </w:rPr>
              <w:t xml:space="preserve"> sejam devidamente recuperadas de acordo com o PARP</w:t>
            </w:r>
            <w:r w:rsidR="004D71C5">
              <w:rPr>
                <w:rFonts w:asciiTheme="minorHAnsi" w:hAnsiTheme="minorHAnsi" w:cs="Arial"/>
                <w:sz w:val="22"/>
                <w:szCs w:val="22"/>
              </w:rPr>
              <w:t>, de modo</w:t>
            </w:r>
            <w:r w:rsidR="00DC767B" w:rsidRPr="004D71C5">
              <w:rPr>
                <w:rFonts w:asciiTheme="minorHAnsi" w:hAnsiTheme="minorHAnsi" w:cs="Arial"/>
                <w:sz w:val="22"/>
                <w:szCs w:val="22"/>
              </w:rPr>
              <w:t xml:space="preserve"> a permitir, </w:t>
            </w:r>
            <w:r w:rsidRPr="004D71C5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Pr="00C7432C">
              <w:rPr>
                <w:rFonts w:asciiTheme="minorHAnsi" w:hAnsiTheme="minorHAnsi" w:cs="Arial"/>
                <w:sz w:val="22"/>
                <w:szCs w:val="22"/>
              </w:rPr>
              <w:t xml:space="preserve"> mais curto espaço de tempo possível</w:t>
            </w:r>
            <w:r w:rsidRPr="004D71C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DC767B" w:rsidRPr="004D71C5">
              <w:rPr>
                <w:rFonts w:asciiTheme="minorHAnsi" w:hAnsiTheme="minorHAnsi" w:cs="Arial"/>
                <w:sz w:val="22"/>
                <w:szCs w:val="22"/>
              </w:rPr>
              <w:t xml:space="preserve">estabelecer </w:t>
            </w:r>
            <w:r w:rsidRPr="004D71C5">
              <w:rPr>
                <w:rFonts w:asciiTheme="minorHAnsi" w:hAnsiTheme="minorHAnsi" w:cs="Arial"/>
                <w:sz w:val="22"/>
                <w:szCs w:val="22"/>
              </w:rPr>
              <w:t>uma ligação</w:t>
            </w:r>
            <w:r w:rsidRPr="00C7432C">
              <w:rPr>
                <w:rFonts w:asciiTheme="minorHAnsi" w:hAnsiTheme="minorHAnsi" w:cs="Arial"/>
                <w:sz w:val="22"/>
                <w:szCs w:val="22"/>
              </w:rPr>
              <w:t xml:space="preserve"> entre a área intervencionada e a paisagem envolvente</w:t>
            </w:r>
          </w:p>
        </w:tc>
      </w:tr>
      <w:tr w:rsidR="00003D45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45" w:rsidRPr="00C7432C" w:rsidRDefault="00003D45" w:rsidP="007A07DF">
            <w:pPr>
              <w:spacing w:before="120" w:after="120" w:line="360" w:lineRule="auto"/>
              <w:ind w:left="394" w:hanging="394"/>
              <w:rPr>
                <w:rFonts w:asciiTheme="minorHAnsi" w:hAnsiTheme="minorHAnsi" w:cs="Arial"/>
                <w:szCs w:val="22"/>
              </w:rPr>
            </w:pPr>
            <w:r w:rsidRPr="00C7432C">
              <w:rPr>
                <w:rFonts w:asciiTheme="minorHAnsi" w:hAnsiTheme="minorHAnsi" w:cs="Calibri"/>
                <w:szCs w:val="22"/>
              </w:rPr>
              <w:t>24.</w:t>
            </w:r>
            <w:r w:rsidR="00A570E5">
              <w:rPr>
                <w:rFonts w:asciiTheme="minorHAnsi" w:hAnsiTheme="minorHAnsi" w:cs="Calibri"/>
                <w:szCs w:val="22"/>
              </w:rPr>
              <w:t xml:space="preserve"> </w:t>
            </w:r>
            <w:r w:rsidRPr="00C7432C">
              <w:rPr>
                <w:rFonts w:asciiTheme="minorHAnsi" w:hAnsiTheme="minorHAnsi" w:cs="Calibri"/>
                <w:szCs w:val="22"/>
              </w:rPr>
              <w:t xml:space="preserve">Os acessos abertos para servir a exploração e cuja utilização futura será nula, deveram, dentro do possível, ser </w:t>
            </w:r>
            <w:proofErr w:type="spellStart"/>
            <w:r w:rsidRPr="00C7432C">
              <w:rPr>
                <w:rFonts w:asciiTheme="minorHAnsi" w:hAnsiTheme="minorHAnsi" w:cs="Calibri"/>
                <w:szCs w:val="22"/>
              </w:rPr>
              <w:t>renaturalizados</w:t>
            </w:r>
            <w:proofErr w:type="spellEnd"/>
            <w:r w:rsidRPr="00C7432C">
              <w:rPr>
                <w:rFonts w:asciiTheme="minorHAnsi" w:hAnsiTheme="minorHAnsi" w:cs="Calibri"/>
                <w:szCs w:val="22"/>
              </w:rPr>
              <w:t>. Para o efeito, deverá proceder-se à sua limpeza e posterior cobertura com uma camada de terra viva.</w:t>
            </w:r>
          </w:p>
        </w:tc>
      </w:tr>
      <w:tr w:rsidR="00A03D8A" w:rsidRPr="00C7432C" w:rsidTr="00D25DAB">
        <w:trPr>
          <w:trHeight w:val="293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03D8A" w:rsidRPr="00C7432C" w:rsidRDefault="00A03D8A" w:rsidP="00D25DAB">
            <w:pPr>
              <w:spacing w:before="120" w:after="120"/>
              <w:jc w:val="center"/>
              <w:rPr>
                <w:rFonts w:asciiTheme="minorHAnsi" w:hAnsiTheme="minorHAnsi" w:cs="Arial"/>
                <w:noProof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szCs w:val="22"/>
              </w:rPr>
              <w:t>Programas de Monitorização</w:t>
            </w:r>
          </w:p>
        </w:tc>
      </w:tr>
      <w:tr w:rsidR="00A03D8A" w:rsidRPr="00C7432C">
        <w:trPr>
          <w:trHeight w:val="292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70F" w:rsidRPr="0001570F" w:rsidRDefault="0001570F" w:rsidP="00003D45">
            <w:pPr>
              <w:pStyle w:val="Corpodetexto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1570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Qualidade do Ar</w:t>
            </w:r>
          </w:p>
          <w:p w:rsidR="00003D45" w:rsidRPr="00C7432C" w:rsidRDefault="00003D45" w:rsidP="00003D45">
            <w:pPr>
              <w:pStyle w:val="Corpodetexto"/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sz w:val="22"/>
                <w:szCs w:val="22"/>
              </w:rPr>
              <w:t>1. Parâmetros a Monitorizar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>O plano de monitorização deve incidir sobre a avaliação da concentração de partículas PM</w:t>
            </w:r>
            <w:r w:rsidRPr="00C7432C">
              <w:rPr>
                <w:rFonts w:asciiTheme="minorHAnsi" w:eastAsia="Calibri" w:hAnsiTheme="minorHAnsi" w:cs="Arial"/>
                <w:szCs w:val="22"/>
                <w:vertAlign w:val="subscript"/>
              </w:rPr>
              <w:t>10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 (µ/m</w:t>
            </w:r>
            <w:r w:rsidRPr="00C7432C">
              <w:rPr>
                <w:rFonts w:asciiTheme="minorHAnsi" w:eastAsia="Calibri" w:hAnsiTheme="minorHAnsi" w:cs="Arial"/>
                <w:szCs w:val="22"/>
                <w:vertAlign w:val="superscript"/>
              </w:rPr>
              <w:t>3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)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b/>
                <w:bCs/>
                <w:szCs w:val="22"/>
              </w:rPr>
            </w:pPr>
            <w:r w:rsidRPr="00C7432C">
              <w:rPr>
                <w:rFonts w:asciiTheme="minorHAnsi" w:eastAsia="Calibri" w:hAnsiTheme="minorHAnsi" w:cs="Arial"/>
                <w:b/>
                <w:bCs/>
                <w:szCs w:val="22"/>
              </w:rPr>
              <w:t>2. Local de medição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>Deve ser us</w:t>
            </w:r>
            <w:r w:rsidR="005B6D74">
              <w:rPr>
                <w:rFonts w:asciiTheme="minorHAnsi" w:eastAsia="Calibri" w:hAnsiTheme="minorHAnsi" w:cs="Arial"/>
                <w:szCs w:val="22"/>
              </w:rPr>
              <w:t>ado o ponto monitorizado no EIA, designadamente junto à h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abitação mais próxima da área de exploração a cerca de 160 m a Este do limite da pedreira. 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b/>
                <w:szCs w:val="22"/>
              </w:rPr>
            </w:pPr>
            <w:r w:rsidRPr="00C7432C">
              <w:rPr>
                <w:rFonts w:asciiTheme="minorHAnsi" w:eastAsia="Calibri" w:hAnsiTheme="minorHAnsi" w:cs="Arial"/>
                <w:b/>
                <w:szCs w:val="22"/>
              </w:rPr>
              <w:t>3. Frequência de amostragem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 xml:space="preserve">A frequência de amostragem é anual ou de 5 em 5 anos dependendo dos resultados obtidos durante o primeiro ano de exploração. No final do primeiro ano deve ser avaliada a necessidade de monitorização para os anos seguintes. </w:t>
            </w:r>
            <w:r w:rsidRPr="00C7432C">
              <w:rPr>
                <w:rFonts w:asciiTheme="minorHAnsi" w:eastAsia="ArialNarrow" w:hAnsiTheme="minorHAnsi" w:cs="Arial"/>
                <w:szCs w:val="22"/>
              </w:rPr>
              <w:t>Para este efeito devem ser tidas em consideração as estimativas dos indicadores legais anuais para PM</w:t>
            </w:r>
            <w:r w:rsidRPr="00C7432C">
              <w:rPr>
                <w:rFonts w:asciiTheme="minorHAnsi" w:eastAsia="ArialNarrow" w:hAnsiTheme="minorHAnsi" w:cs="Arial"/>
                <w:szCs w:val="22"/>
                <w:vertAlign w:val="subscript"/>
              </w:rPr>
              <w:t>10</w:t>
            </w:r>
            <w:r w:rsidRPr="00C7432C">
              <w:rPr>
                <w:rFonts w:asciiTheme="minorHAnsi" w:eastAsia="ArialNarrow" w:hAnsiTheme="minorHAnsi" w:cs="Arial"/>
                <w:szCs w:val="22"/>
              </w:rPr>
              <w:t xml:space="preserve"> (com base nos resultados da monitorização e das estações de monitorização rurais de fundo) que se não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ultrapassarem 70% dos valores limite (limiares superiores de avaliação 28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μg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>/m</w:t>
            </w:r>
            <w:r w:rsidRPr="00C7432C">
              <w:rPr>
                <w:rFonts w:asciiTheme="minorHAnsi" w:eastAsia="Calibri" w:hAnsiTheme="minorHAnsi" w:cs="Arial"/>
                <w:szCs w:val="22"/>
                <w:vertAlign w:val="superscript"/>
              </w:rPr>
              <w:t xml:space="preserve">3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para a média anual</w:t>
            </w:r>
            <w:r w:rsidRPr="00C7432C">
              <w:rPr>
                <w:rFonts w:asciiTheme="minorHAnsi" w:eastAsia="Calibri" w:hAnsiTheme="minorHAnsi" w:cs="Arial"/>
                <w:szCs w:val="22"/>
                <w:vertAlign w:val="superscript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e 35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μg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>/m</w:t>
            </w:r>
            <w:r w:rsidRPr="00C7432C">
              <w:rPr>
                <w:rFonts w:asciiTheme="minorHAnsi" w:eastAsia="Calibri" w:hAnsiTheme="minorHAnsi" w:cs="Arial"/>
                <w:szCs w:val="22"/>
                <w:vertAlign w:val="superscript"/>
              </w:rPr>
              <w:t xml:space="preserve">3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para o 36º máximo das médias diárias do ano), as medições anuais não são obrigatórias e nova avaliação deverá ser realizada ao fim de cinco anos.</w:t>
            </w:r>
          </w:p>
          <w:p w:rsidR="00DF3932" w:rsidRDefault="00DF3932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b/>
                <w:szCs w:val="22"/>
              </w:rPr>
            </w:pP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b/>
                <w:szCs w:val="22"/>
              </w:rPr>
            </w:pPr>
            <w:r w:rsidRPr="00C7432C">
              <w:rPr>
                <w:rFonts w:asciiTheme="minorHAnsi" w:eastAsia="Calibri" w:hAnsiTheme="minorHAnsi" w:cs="Arial"/>
                <w:b/>
                <w:szCs w:val="22"/>
              </w:rPr>
              <w:t>4. Período de amostragem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 xml:space="preserve">No primeiro ano de exploração a amostragem deve ser no mínimo de 15 dias em período seco. Caso se </w:t>
            </w:r>
            <w:r w:rsidRPr="00C7432C">
              <w:rPr>
                <w:rFonts w:asciiTheme="minorHAnsi" w:eastAsia="Calibri" w:hAnsiTheme="minorHAnsi" w:cs="Arial"/>
                <w:szCs w:val="22"/>
              </w:rPr>
              <w:lastRenderedPageBreak/>
              <w:t>confirme a necessidade de efetuar monitorização anualmente, o período de amostragem poderá ser aumento até 14% do ano (8 semanas distribuídas ao longo do ano) dependendo dos níveis registados.</w:t>
            </w:r>
          </w:p>
          <w:p w:rsidR="00003D45" w:rsidRPr="00C7432C" w:rsidRDefault="00003D45" w:rsidP="00003D45">
            <w:pPr>
              <w:keepLines/>
              <w:spacing w:before="120" w:after="120" w:line="360" w:lineRule="auto"/>
              <w:outlineLvl w:val="0"/>
              <w:rPr>
                <w:rFonts w:asciiTheme="minorHAnsi" w:eastAsia="Calibri" w:hAnsiTheme="minorHAnsi" w:cs="Arial"/>
                <w:b/>
                <w:szCs w:val="22"/>
              </w:rPr>
            </w:pPr>
            <w:r w:rsidRPr="00C7432C">
              <w:rPr>
                <w:rFonts w:asciiTheme="minorHAnsi" w:eastAsia="Calibri" w:hAnsiTheme="minorHAnsi" w:cs="Arial"/>
                <w:b/>
                <w:szCs w:val="22"/>
              </w:rPr>
              <w:t>5. Localização em microescala dos pontos de amostragem</w:t>
            </w:r>
          </w:p>
          <w:p w:rsidR="00003D45" w:rsidRPr="00C7432C" w:rsidRDefault="00003D45" w:rsidP="00003D45">
            <w:pPr>
              <w:pStyle w:val="Corpodetexto"/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7432C">
              <w:rPr>
                <w:rFonts w:asciiTheme="minorHAnsi" w:hAnsiTheme="minorHAnsi" w:cs="Arial"/>
                <w:sz w:val="22"/>
                <w:szCs w:val="22"/>
              </w:rPr>
              <w:t>Deve basear-se nas indicações constantes na parte C do Anexo IV do Decreto-lei n.º 102/2010, de 23 de Setembro.</w:t>
            </w:r>
          </w:p>
          <w:p w:rsidR="00003D45" w:rsidRPr="00C7432C" w:rsidRDefault="00003D45" w:rsidP="00003D45">
            <w:pPr>
              <w:spacing w:before="120" w:after="120" w:line="360" w:lineRule="auto"/>
              <w:rPr>
                <w:rFonts w:asciiTheme="minorHAnsi" w:eastAsia="ArialNarrow" w:hAnsiTheme="minorHAnsi" w:cs="Arial"/>
                <w:b/>
                <w:szCs w:val="22"/>
              </w:rPr>
            </w:pPr>
            <w:r w:rsidRPr="00C7432C">
              <w:rPr>
                <w:rFonts w:asciiTheme="minorHAnsi" w:eastAsia="ArialNarrow" w:hAnsiTheme="minorHAnsi" w:cs="Arial"/>
                <w:b/>
                <w:szCs w:val="22"/>
              </w:rPr>
              <w:t>6. Método de amostragem e análise</w:t>
            </w:r>
          </w:p>
          <w:p w:rsidR="00003D45" w:rsidRPr="00C7432C" w:rsidRDefault="00003D45" w:rsidP="00003D4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eastAsia="Calibri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>Deve seguir o método de referência para a amostragem e medição de PM</w:t>
            </w:r>
            <w:r w:rsidRPr="00C7432C">
              <w:rPr>
                <w:rFonts w:asciiTheme="minorHAnsi" w:eastAsia="Calibri" w:hAnsiTheme="minorHAnsi" w:cs="Arial"/>
                <w:szCs w:val="22"/>
                <w:vertAlign w:val="subscript"/>
              </w:rPr>
              <w:t>10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 que é o método descrito na norma EN 12341:1999 «Air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Quality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—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Determination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of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the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PM10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fraction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of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suspended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particulate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matter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—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Reference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method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and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field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test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procedure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to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demonstrate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reference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equivalence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of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measurement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 xml:space="preserve"> </w:t>
            </w:r>
            <w:proofErr w:type="spellStart"/>
            <w:r w:rsidRPr="00C7432C">
              <w:rPr>
                <w:rFonts w:asciiTheme="minorHAnsi" w:eastAsia="Calibri" w:hAnsiTheme="minorHAnsi" w:cs="Arial"/>
                <w:szCs w:val="22"/>
              </w:rPr>
              <w:t>methods</w:t>
            </w:r>
            <w:proofErr w:type="spellEnd"/>
            <w:r w:rsidRPr="00C7432C">
              <w:rPr>
                <w:rFonts w:asciiTheme="minorHAnsi" w:eastAsia="Calibri" w:hAnsiTheme="minorHAnsi" w:cs="Arial"/>
                <w:szCs w:val="22"/>
              </w:rPr>
              <w:t>»</w:t>
            </w:r>
          </w:p>
          <w:p w:rsidR="00003D45" w:rsidRPr="00C7432C" w:rsidRDefault="00003D45" w:rsidP="00003D45">
            <w:pPr>
              <w:spacing w:before="120" w:after="120" w:line="360" w:lineRule="auto"/>
              <w:rPr>
                <w:rFonts w:asciiTheme="minorHAnsi" w:eastAsia="ArialNarrow" w:hAnsiTheme="minorHAnsi" w:cs="Arial"/>
                <w:b/>
                <w:szCs w:val="22"/>
              </w:rPr>
            </w:pPr>
            <w:r w:rsidRPr="00C7432C">
              <w:rPr>
                <w:rFonts w:asciiTheme="minorHAnsi" w:eastAsia="ArialNarrow" w:hAnsiTheme="minorHAnsi" w:cs="Arial"/>
                <w:b/>
                <w:szCs w:val="22"/>
              </w:rPr>
              <w:t>7. Relatório e interpretação de resultados</w:t>
            </w:r>
          </w:p>
          <w:p w:rsidR="00003D45" w:rsidRPr="00C7432C" w:rsidRDefault="00003D45" w:rsidP="00003D45">
            <w:pPr>
              <w:spacing w:before="120" w:after="120" w:line="360" w:lineRule="auto"/>
              <w:rPr>
                <w:rFonts w:asciiTheme="minorHAnsi" w:eastAsia="ArialNarrow" w:hAnsiTheme="minorHAnsi" w:cs="Arial"/>
                <w:szCs w:val="22"/>
              </w:rPr>
            </w:pPr>
            <w:r w:rsidRPr="00C7432C">
              <w:rPr>
                <w:rFonts w:asciiTheme="minorHAnsi" w:eastAsia="Calibri" w:hAnsiTheme="minorHAnsi" w:cs="Arial"/>
                <w:szCs w:val="22"/>
              </w:rPr>
              <w:t xml:space="preserve">A estrutura do relatório a entregar no final de cada ano em que tenham sido efetuadas amostragens deve seguir o definido no </w:t>
            </w:r>
            <w:r w:rsidRPr="00C7432C">
              <w:rPr>
                <w:rFonts w:asciiTheme="minorHAnsi" w:eastAsia="ArialNarrow" w:hAnsiTheme="minorHAnsi" w:cs="Arial"/>
                <w:szCs w:val="22"/>
              </w:rPr>
              <w:t>Anexo V relativo aos relatórios de monitorização da Portaria n.º 330/2001, de 2 de Abril, que fixa as normas técnicas para a estrutura da proposta de definição do âmbito do EIA (PDA) e normas técnicas para a estrutura do estudo do impacte ambiental (EIA).</w:t>
            </w:r>
            <w:r w:rsidRPr="00C7432C">
              <w:rPr>
                <w:rFonts w:asciiTheme="minorHAnsi" w:eastAsia="Calibri" w:hAnsiTheme="minorHAnsi" w:cs="Arial"/>
                <w:b/>
                <w:szCs w:val="22"/>
              </w:rPr>
              <w:t xml:space="preserve"> </w:t>
            </w:r>
            <w:r w:rsidRPr="00C7432C">
              <w:rPr>
                <w:rFonts w:asciiTheme="minorHAnsi" w:eastAsia="Calibri" w:hAnsiTheme="minorHAnsi" w:cs="Arial"/>
                <w:szCs w:val="22"/>
              </w:rPr>
              <w:t>Os resultados obtidos devem ser analisados em conjunto com os resultados de estações fixas existentes na envolvente em localizações rurais de fundo devendo ser estimados os indicadores anuais para se avaliar o cumprimento da legislação em vigor para PM</w:t>
            </w:r>
            <w:r w:rsidRPr="00C7432C">
              <w:rPr>
                <w:rFonts w:asciiTheme="minorHAnsi" w:eastAsia="Calibri" w:hAnsiTheme="minorHAnsi" w:cs="Arial"/>
                <w:szCs w:val="22"/>
                <w:vertAlign w:val="subscript"/>
              </w:rPr>
              <w:t>10</w:t>
            </w:r>
            <w:r w:rsidRPr="00C7432C">
              <w:rPr>
                <w:rFonts w:asciiTheme="minorHAnsi" w:eastAsia="Calibri" w:hAnsiTheme="minorHAnsi" w:cs="Arial"/>
                <w:szCs w:val="22"/>
              </w:rPr>
              <w:t xml:space="preserve">. Devem ser integrados nos relatórios de monitorização para uma análise comparativa os resultados e as estimativas de concentrações apresentados no EIA e respetivo aditamento. Deverá também ser efetuada uma interpretação e apreciação dos resultados obtidos em função das condições meteorológicas observadas e do ritmo de laboração da pedreira, devendo também efetuar-se uma análise da eficácia das medidas adotadas para prevenir ou reduzir os impactes na qualidade do ar. Esta análise deverá ter em consideração a atividade das restantes pedreiras e outras fontes poluidoras nas proximidades da Pedreira, incluindo o tráfego associado ao funcionamento das mesmas. Nas conclusões do relatório deve ser </w:t>
            </w:r>
            <w:r w:rsidRPr="00C7432C">
              <w:rPr>
                <w:rFonts w:asciiTheme="minorHAnsi" w:eastAsia="ArialNarrow" w:hAnsiTheme="minorHAnsi" w:cs="Arial"/>
                <w:szCs w:val="22"/>
              </w:rPr>
              <w:t>apresentada uma proposta de revisão dos programas de monitorização e da periodicidade dos futuros relatórios de monitorização.</w:t>
            </w:r>
          </w:p>
          <w:p w:rsidR="00003D45" w:rsidRPr="00C7432C" w:rsidRDefault="00003D45" w:rsidP="00003D45">
            <w:pPr>
              <w:spacing w:before="120" w:after="120" w:line="360" w:lineRule="auto"/>
              <w:rPr>
                <w:rFonts w:asciiTheme="minorHAnsi" w:eastAsia="ArialNarrow" w:hAnsiTheme="minorHAnsi" w:cs="Arial"/>
                <w:b/>
                <w:szCs w:val="22"/>
              </w:rPr>
            </w:pPr>
            <w:r w:rsidRPr="00C7432C">
              <w:rPr>
                <w:rFonts w:asciiTheme="minorHAnsi" w:eastAsia="ArialNarrow" w:hAnsiTheme="minorHAnsi" w:cs="Arial"/>
                <w:b/>
                <w:szCs w:val="22"/>
              </w:rPr>
              <w:t xml:space="preserve">8. Revisão do plano </w:t>
            </w:r>
            <w:r w:rsidRPr="004D71C5">
              <w:rPr>
                <w:rFonts w:asciiTheme="minorHAnsi" w:eastAsia="ArialNarrow" w:hAnsiTheme="minorHAnsi" w:cs="Arial"/>
                <w:b/>
                <w:szCs w:val="22"/>
              </w:rPr>
              <w:t xml:space="preserve">de </w:t>
            </w:r>
            <w:r w:rsidR="00814270" w:rsidRPr="004D71C5">
              <w:rPr>
                <w:rFonts w:asciiTheme="minorHAnsi" w:eastAsia="ArialNarrow" w:hAnsiTheme="minorHAnsi" w:cs="Arial"/>
                <w:b/>
                <w:szCs w:val="22"/>
              </w:rPr>
              <w:t>a</w:t>
            </w:r>
            <w:r w:rsidRPr="00C7432C">
              <w:rPr>
                <w:rFonts w:asciiTheme="minorHAnsi" w:eastAsia="ArialNarrow" w:hAnsiTheme="minorHAnsi" w:cs="Arial"/>
                <w:b/>
                <w:szCs w:val="22"/>
              </w:rPr>
              <w:t>mostragem</w:t>
            </w:r>
          </w:p>
          <w:p w:rsidR="00A03D8A" w:rsidRPr="00C7432C" w:rsidRDefault="00003D45" w:rsidP="00C7432C">
            <w:pPr>
              <w:spacing w:before="120" w:after="120" w:line="360" w:lineRule="auto"/>
              <w:rPr>
                <w:rFonts w:asciiTheme="minorHAnsi" w:eastAsia="ArialNarrow" w:hAnsiTheme="minorHAnsi" w:cs="Arial"/>
                <w:szCs w:val="22"/>
              </w:rPr>
            </w:pPr>
            <w:r w:rsidRPr="00C7432C">
              <w:rPr>
                <w:rFonts w:asciiTheme="minorHAnsi" w:eastAsia="ArialNarrow" w:hAnsiTheme="minorHAnsi" w:cs="Arial"/>
                <w:szCs w:val="22"/>
              </w:rPr>
              <w:t xml:space="preserve">O plano de amostragem pode vir a ser alterado em função dos resultados das amostragens anteriores, de nova legislação, de novas diretrizes definidas pelas entidades competentes e ainda </w:t>
            </w:r>
            <w:r w:rsidRPr="004D71C5">
              <w:rPr>
                <w:rFonts w:asciiTheme="minorHAnsi" w:eastAsia="ArialNarrow" w:hAnsiTheme="minorHAnsi" w:cs="Arial"/>
                <w:szCs w:val="22"/>
              </w:rPr>
              <w:t xml:space="preserve">da </w:t>
            </w:r>
            <w:r w:rsidR="00814270" w:rsidRPr="004D71C5">
              <w:rPr>
                <w:rFonts w:asciiTheme="minorHAnsi" w:eastAsia="ArialNarrow" w:hAnsiTheme="minorHAnsi" w:cs="Arial"/>
                <w:szCs w:val="22"/>
              </w:rPr>
              <w:t>eventual</w:t>
            </w:r>
            <w:r w:rsidR="00814270">
              <w:rPr>
                <w:rFonts w:asciiTheme="minorHAnsi" w:eastAsia="ArialNarrow" w:hAnsiTheme="minorHAnsi" w:cs="Arial"/>
                <w:szCs w:val="22"/>
              </w:rPr>
              <w:t xml:space="preserve"> </w:t>
            </w:r>
            <w:r w:rsidRPr="00C7432C">
              <w:rPr>
                <w:rFonts w:asciiTheme="minorHAnsi" w:eastAsia="ArialNarrow" w:hAnsiTheme="minorHAnsi" w:cs="Arial"/>
                <w:szCs w:val="22"/>
              </w:rPr>
              <w:t>ocorrência de reclamações.</w:t>
            </w:r>
          </w:p>
        </w:tc>
      </w:tr>
    </w:tbl>
    <w:p w:rsidR="003B4E34" w:rsidRPr="00C7432C" w:rsidRDefault="003B4E34">
      <w:pPr>
        <w:spacing w:before="0"/>
        <w:jc w:val="center"/>
        <w:rPr>
          <w:rFonts w:asciiTheme="minorHAnsi" w:hAnsiTheme="minorHAnsi"/>
          <w:szCs w:val="22"/>
          <w:highlight w:val="yellow"/>
        </w:rPr>
      </w:pPr>
    </w:p>
    <w:p w:rsidR="0040789B" w:rsidRPr="00C7432C" w:rsidRDefault="0040789B">
      <w:pPr>
        <w:spacing w:before="0"/>
        <w:jc w:val="center"/>
        <w:rPr>
          <w:rFonts w:asciiTheme="minorHAnsi" w:hAnsiTheme="minorHAnsi"/>
          <w:szCs w:val="22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C74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C7432C" w:rsidRDefault="003B4E34" w:rsidP="001F1BE7">
            <w:pPr>
              <w:spacing w:before="120" w:after="120"/>
              <w:jc w:val="center"/>
              <w:rPr>
                <w:rFonts w:asciiTheme="minorHAnsi" w:hAnsiTheme="minorHAnsi" w:cs="Arial"/>
                <w:b/>
                <w:noProof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noProof/>
                <w:szCs w:val="22"/>
              </w:rPr>
              <w:t>Validade da DIA: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4" w:rsidRPr="00C7432C" w:rsidRDefault="001F1BE7" w:rsidP="00C7432C">
            <w:pPr>
              <w:spacing w:before="120" w:after="120" w:line="360" w:lineRule="auto"/>
              <w:rPr>
                <w:rFonts w:asciiTheme="minorHAnsi" w:hAnsiTheme="minorHAnsi" w:cs="Arial"/>
                <w:noProof/>
                <w:szCs w:val="22"/>
              </w:rPr>
            </w:pPr>
            <w:r w:rsidRPr="00C7432C">
              <w:rPr>
                <w:rFonts w:asciiTheme="minorHAnsi" w:hAnsiTheme="minorHAnsi" w:cs="Arial"/>
                <w:bCs/>
                <w:szCs w:val="22"/>
              </w:rPr>
              <w:t xml:space="preserve">Nos termos do n.º </w:t>
            </w:r>
            <w:r w:rsidR="00003D45" w:rsidRPr="00C7432C">
              <w:rPr>
                <w:rFonts w:asciiTheme="minorHAnsi" w:hAnsiTheme="minorHAnsi" w:cs="Arial"/>
                <w:bCs/>
                <w:szCs w:val="22"/>
              </w:rPr>
              <w:t>2 do artigo 23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 xml:space="preserve">.º do Decreto-Lei n.º </w:t>
            </w:r>
            <w:r w:rsidR="00003D45" w:rsidRPr="00C7432C">
              <w:rPr>
                <w:rFonts w:asciiTheme="minorHAnsi" w:hAnsiTheme="minorHAnsi" w:cs="Arial"/>
                <w:bCs/>
                <w:szCs w:val="22"/>
              </w:rPr>
              <w:t>115-B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>/20</w:t>
            </w:r>
            <w:r w:rsidR="00003D45" w:rsidRPr="00C7432C">
              <w:rPr>
                <w:rFonts w:asciiTheme="minorHAnsi" w:hAnsiTheme="minorHAnsi" w:cs="Arial"/>
                <w:bCs/>
                <w:szCs w:val="22"/>
              </w:rPr>
              <w:t>14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>, de 3</w:t>
            </w:r>
            <w:r w:rsidR="00003D45" w:rsidRPr="00C7432C">
              <w:rPr>
                <w:rFonts w:asciiTheme="minorHAnsi" w:hAnsiTheme="minorHAnsi" w:cs="Arial"/>
                <w:bCs/>
                <w:szCs w:val="22"/>
              </w:rPr>
              <w:t>1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 xml:space="preserve"> de </w:t>
            </w:r>
            <w:r w:rsidR="00003D45" w:rsidRPr="00C7432C">
              <w:rPr>
                <w:rFonts w:asciiTheme="minorHAnsi" w:hAnsiTheme="minorHAnsi" w:cs="Arial"/>
                <w:bCs/>
                <w:szCs w:val="22"/>
              </w:rPr>
              <w:t>outubro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 xml:space="preserve">, a presente DIA caduca se, decorridos </w:t>
            </w:r>
            <w:r w:rsidR="00C7432C" w:rsidRPr="00C7432C">
              <w:rPr>
                <w:rFonts w:asciiTheme="minorHAnsi" w:hAnsiTheme="minorHAnsi" w:cs="Arial"/>
                <w:bCs/>
                <w:szCs w:val="22"/>
              </w:rPr>
              <w:t>quatro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 xml:space="preserve"> anos </w:t>
            </w:r>
            <w:r w:rsidR="00C7432C" w:rsidRPr="00C7432C">
              <w:rPr>
                <w:rFonts w:asciiTheme="minorHAnsi" w:hAnsiTheme="minorHAnsi" w:cs="Arial"/>
                <w:bCs/>
                <w:szCs w:val="22"/>
              </w:rPr>
              <w:t xml:space="preserve">sobre 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>a</w:t>
            </w:r>
            <w:r w:rsidR="00C7432C" w:rsidRPr="00C7432C">
              <w:rPr>
                <w:rFonts w:asciiTheme="minorHAnsi" w:hAnsiTheme="minorHAnsi" w:cs="Arial"/>
                <w:bCs/>
                <w:szCs w:val="22"/>
              </w:rPr>
              <w:t xml:space="preserve"> data da sua emissão, o proponente não der início à execução do projeto</w:t>
            </w:r>
            <w:r w:rsidRPr="00C7432C">
              <w:rPr>
                <w:rFonts w:asciiTheme="minorHAnsi" w:hAnsiTheme="minorHAnsi" w:cs="Arial"/>
                <w:bCs/>
                <w:szCs w:val="22"/>
              </w:rPr>
              <w:t>.</w:t>
            </w:r>
          </w:p>
        </w:tc>
      </w:tr>
    </w:tbl>
    <w:p w:rsidR="003B4E34" w:rsidRPr="00C7432C" w:rsidRDefault="003B4E34">
      <w:pPr>
        <w:spacing w:before="0"/>
        <w:jc w:val="center"/>
        <w:rPr>
          <w:rFonts w:asciiTheme="minorHAnsi" w:hAnsiTheme="minorHAnsi"/>
          <w:szCs w:val="22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C74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C7432C" w:rsidRDefault="003B4E34" w:rsidP="00003D45">
            <w:pPr>
              <w:spacing w:before="120" w:after="120"/>
              <w:jc w:val="center"/>
              <w:rPr>
                <w:rFonts w:asciiTheme="minorHAnsi" w:hAnsiTheme="minorHAnsi" w:cs="Arial"/>
                <w:b/>
                <w:noProof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noProof/>
                <w:szCs w:val="22"/>
              </w:rPr>
              <w:t>Entidade de verificação da DIA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8A" w:rsidRPr="00C7432C" w:rsidRDefault="008E426B" w:rsidP="008E426B">
            <w:pPr>
              <w:spacing w:before="120" w:after="120"/>
              <w:jc w:val="center"/>
              <w:rPr>
                <w:rFonts w:asciiTheme="minorHAnsi" w:hAnsiTheme="minorHAnsi" w:cs="Arial"/>
                <w:szCs w:val="22"/>
              </w:rPr>
            </w:pPr>
            <w:r w:rsidRPr="004D71C5">
              <w:rPr>
                <w:rFonts w:asciiTheme="minorHAnsi" w:hAnsiTheme="minorHAnsi" w:cs="Arial"/>
                <w:szCs w:val="22"/>
              </w:rPr>
              <w:t>Comissão de Coordenação e Desenvolvimento Regional de Lisboa e Vale do Tejo</w:t>
            </w:r>
          </w:p>
        </w:tc>
      </w:tr>
    </w:tbl>
    <w:p w:rsidR="003B4E34" w:rsidRPr="00C7432C" w:rsidRDefault="003B4E34">
      <w:pPr>
        <w:spacing w:before="0"/>
        <w:jc w:val="center"/>
        <w:rPr>
          <w:rFonts w:asciiTheme="minorHAnsi" w:hAnsiTheme="minorHAnsi"/>
          <w:szCs w:val="22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C74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C7432C" w:rsidRDefault="003B4E34" w:rsidP="001F1BE7">
            <w:pPr>
              <w:spacing w:before="120" w:after="120"/>
              <w:jc w:val="center"/>
              <w:rPr>
                <w:rFonts w:asciiTheme="minorHAnsi" w:hAnsiTheme="minorHAnsi" w:cs="Arial"/>
                <w:b/>
                <w:noProof/>
                <w:szCs w:val="22"/>
              </w:rPr>
            </w:pPr>
            <w:r w:rsidRPr="00C7432C">
              <w:rPr>
                <w:rFonts w:asciiTheme="minorHAnsi" w:hAnsiTheme="minorHAnsi" w:cs="Arial"/>
                <w:b/>
                <w:noProof/>
                <w:szCs w:val="22"/>
              </w:rPr>
              <w:t>Assinatura: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34" w:rsidRPr="004D71C5" w:rsidRDefault="008E426B" w:rsidP="001F1BE7">
            <w:pPr>
              <w:spacing w:before="120" w:after="120"/>
              <w:jc w:val="left"/>
              <w:rPr>
                <w:rFonts w:asciiTheme="minorHAnsi" w:hAnsiTheme="minorHAnsi" w:cs="Arial"/>
                <w:noProof/>
                <w:szCs w:val="22"/>
              </w:rPr>
            </w:pPr>
            <w:r w:rsidRPr="004D71C5">
              <w:rPr>
                <w:rFonts w:asciiTheme="minorHAnsi" w:hAnsiTheme="minorHAnsi" w:cs="Arial"/>
                <w:noProof/>
                <w:szCs w:val="22"/>
              </w:rPr>
              <w:t>O V</w:t>
            </w:r>
            <w:r w:rsidR="00003D45" w:rsidRPr="004D71C5">
              <w:rPr>
                <w:rFonts w:asciiTheme="minorHAnsi" w:hAnsiTheme="minorHAnsi" w:cs="Arial"/>
                <w:noProof/>
                <w:szCs w:val="22"/>
              </w:rPr>
              <w:t>ice- Presidente</w:t>
            </w:r>
          </w:p>
          <w:p w:rsidR="004E08F6" w:rsidRPr="004D71C5" w:rsidRDefault="004E08F6" w:rsidP="001F1BE7">
            <w:pPr>
              <w:spacing w:before="120" w:after="120"/>
              <w:jc w:val="left"/>
              <w:rPr>
                <w:rFonts w:asciiTheme="minorHAnsi" w:hAnsiTheme="minorHAnsi" w:cs="Arial"/>
                <w:noProof/>
                <w:szCs w:val="22"/>
              </w:rPr>
            </w:pPr>
          </w:p>
          <w:p w:rsidR="004E08F6" w:rsidRPr="004D71C5" w:rsidRDefault="004E08F6" w:rsidP="001F1BE7">
            <w:pPr>
              <w:spacing w:before="120" w:after="120"/>
              <w:jc w:val="left"/>
              <w:rPr>
                <w:rFonts w:asciiTheme="minorHAnsi" w:hAnsiTheme="minorHAnsi" w:cs="Arial"/>
                <w:noProof/>
                <w:szCs w:val="22"/>
              </w:rPr>
            </w:pPr>
          </w:p>
          <w:p w:rsidR="004E08F6" w:rsidRPr="004D71C5" w:rsidRDefault="00003D45" w:rsidP="001F1BE7">
            <w:pPr>
              <w:spacing w:before="120" w:after="120"/>
              <w:jc w:val="left"/>
              <w:rPr>
                <w:rFonts w:asciiTheme="minorHAnsi" w:hAnsiTheme="minorHAnsi" w:cs="Arial"/>
                <w:noProof/>
                <w:szCs w:val="22"/>
              </w:rPr>
            </w:pPr>
            <w:r w:rsidRPr="004D71C5">
              <w:rPr>
                <w:rFonts w:asciiTheme="minorHAnsi" w:hAnsiTheme="minorHAnsi" w:cs="Arial"/>
                <w:noProof/>
                <w:szCs w:val="22"/>
              </w:rPr>
              <w:t>José Damas Antunes</w:t>
            </w:r>
          </w:p>
        </w:tc>
      </w:tr>
    </w:tbl>
    <w:p w:rsidR="003B4E34" w:rsidRPr="00D97A02" w:rsidRDefault="003B4E34">
      <w:pPr>
        <w:rPr>
          <w:b/>
          <w:bCs/>
          <w:i/>
          <w:sz w:val="18"/>
          <w:szCs w:val="18"/>
        </w:rPr>
      </w:pPr>
      <w:r w:rsidRPr="000A4315">
        <w:rPr>
          <w:sz w:val="18"/>
          <w:szCs w:val="18"/>
        </w:rPr>
        <w:br w:type="page"/>
      </w:r>
      <w:r w:rsidRPr="000A4315">
        <w:rPr>
          <w:b/>
          <w:bCs/>
          <w:sz w:val="18"/>
          <w:szCs w:val="18"/>
        </w:rPr>
        <w:lastRenderedPageBreak/>
        <w:t>ANEXO</w:t>
      </w:r>
      <w:r w:rsidR="003D77CD">
        <w:rPr>
          <w:b/>
          <w:bCs/>
          <w:sz w:val="18"/>
          <w:szCs w:val="18"/>
        </w:rPr>
        <w:t xml:space="preserve"> I</w:t>
      </w:r>
      <w:r w:rsidR="00D97A02">
        <w:rPr>
          <w:b/>
          <w:bCs/>
          <w:sz w:val="18"/>
          <w:szCs w:val="18"/>
        </w:rPr>
        <w:t xml:space="preserve"> </w:t>
      </w:r>
    </w:p>
    <w:p w:rsidR="003B4E34" w:rsidRDefault="003B4E34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196"/>
      </w:tblGrid>
      <w:tr w:rsidR="008976FC" w:rsidRPr="00522712" w:rsidTr="00B01A39">
        <w:trPr>
          <w:trHeight w:val="1701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76FC" w:rsidRPr="000A4315" w:rsidRDefault="008976FC" w:rsidP="004953C5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18"/>
                <w:szCs w:val="18"/>
              </w:rPr>
            </w:pPr>
            <w:r w:rsidRPr="000A4315">
              <w:rPr>
                <w:rFonts w:cs="Arial"/>
                <w:b/>
                <w:sz w:val="18"/>
                <w:szCs w:val="18"/>
              </w:rPr>
              <w:t>Resumo do conteúdo do procedimento, incluindo dos pareceres apresentados pelas entidades consultadas:</w:t>
            </w: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b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Cs w:val="22"/>
              </w:rPr>
              <w:t xml:space="preserve">I. </w:t>
            </w:r>
            <w:r w:rsidRPr="00FE1F04">
              <w:rPr>
                <w:rFonts w:ascii="Calibri" w:hAnsi="Calibri" w:cs="Arial"/>
                <w:b/>
                <w:szCs w:val="22"/>
              </w:rPr>
              <w:t xml:space="preserve"> Conteúdo</w:t>
            </w:r>
            <w:proofErr w:type="gramEnd"/>
            <w:r w:rsidRPr="00FE1F04">
              <w:rPr>
                <w:rFonts w:ascii="Calibri" w:hAnsi="Calibri" w:cs="Arial"/>
                <w:b/>
                <w:szCs w:val="22"/>
              </w:rPr>
              <w:t xml:space="preserve"> do Procedimento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1. O EIA deu entrada na CCDR LVT em 6.11.2013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2. O projeto foi instruído pela Entidade Licenciadora ao abrigo da alínea a) do nº2 do Anexo II do decreto-Lei nº 69/2000, de 3 de maio, alterado pelo Decreto-Lei nº 197/2005, de 8 de novembro.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 xml:space="preserve">Devido ao facto de o referido </w:t>
            </w:r>
            <w:proofErr w:type="gramStart"/>
            <w:r w:rsidRPr="00FE1F04">
              <w:rPr>
                <w:rFonts w:ascii="Calibri" w:hAnsi="Calibri" w:cs="Arial"/>
                <w:szCs w:val="22"/>
              </w:rPr>
              <w:t>diploma</w:t>
            </w:r>
            <w:proofErr w:type="gramEnd"/>
            <w:r w:rsidRPr="00FE1F04">
              <w:rPr>
                <w:rFonts w:ascii="Calibri" w:hAnsi="Calibri" w:cs="Arial"/>
                <w:szCs w:val="22"/>
              </w:rPr>
              <w:t xml:space="preserve"> ter sido revogado pelo Decreto-Lei nº 151-B/2013, de 31 de outubro, em conformidade com o estabelecido nº art.</w:t>
            </w:r>
            <w:r w:rsidR="008E426B">
              <w:rPr>
                <w:rFonts w:ascii="Calibri" w:hAnsi="Calibri" w:cs="Arial"/>
                <w:szCs w:val="22"/>
              </w:rPr>
              <w:t xml:space="preserve">º 50º e 52º, o processo de </w:t>
            </w:r>
            <w:r w:rsidR="008E426B" w:rsidRPr="004D71C5">
              <w:rPr>
                <w:rFonts w:ascii="Calibri" w:hAnsi="Calibri" w:cs="Arial"/>
                <w:szCs w:val="22"/>
              </w:rPr>
              <w:t>AIA t</w:t>
            </w:r>
            <w:r w:rsidRPr="004D71C5">
              <w:rPr>
                <w:rFonts w:ascii="Calibri" w:hAnsi="Calibri" w:cs="Arial"/>
                <w:szCs w:val="22"/>
              </w:rPr>
              <w:t xml:space="preserve">eve </w:t>
            </w:r>
            <w:r w:rsidR="008E426B" w:rsidRPr="004D71C5">
              <w:rPr>
                <w:rFonts w:ascii="Calibri" w:hAnsi="Calibri" w:cs="Arial"/>
                <w:szCs w:val="22"/>
              </w:rPr>
              <w:t xml:space="preserve">que </w:t>
            </w:r>
            <w:r w:rsidRPr="004D71C5">
              <w:rPr>
                <w:rFonts w:ascii="Calibri" w:hAnsi="Calibri" w:cs="Arial"/>
                <w:szCs w:val="22"/>
              </w:rPr>
              <w:t>ser</w:t>
            </w:r>
            <w:r w:rsidRPr="00FE1F04">
              <w:rPr>
                <w:rFonts w:ascii="Calibri" w:hAnsi="Calibri" w:cs="Arial"/>
                <w:szCs w:val="22"/>
              </w:rPr>
              <w:t xml:space="preserve"> instruído nos termos do novo Regime Jurídico.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3. Nos termos da alínea g) do ponto 3 do art.º 8º conjugado com o nº2 do art.º 9º do Decreto-Lei nº 151-B/2013, foi constituída a Comissão de Avaliação</w:t>
            </w:r>
            <w:r w:rsidRPr="004D71C5">
              <w:rPr>
                <w:rFonts w:ascii="Calibri" w:hAnsi="Calibri" w:cs="Arial"/>
                <w:szCs w:val="22"/>
              </w:rPr>
              <w:t>,</w:t>
            </w:r>
            <w:r w:rsidR="008E426B" w:rsidRPr="004D71C5">
              <w:rPr>
                <w:rFonts w:ascii="Calibri" w:hAnsi="Calibri" w:cs="Arial"/>
                <w:szCs w:val="22"/>
              </w:rPr>
              <w:t xml:space="preserve"> integrando</w:t>
            </w:r>
            <w:r w:rsidRPr="00FE1F04">
              <w:rPr>
                <w:rFonts w:ascii="Calibri" w:hAnsi="Calibri" w:cs="Arial"/>
                <w:szCs w:val="22"/>
              </w:rPr>
              <w:t xml:space="preserve"> representantes das seguintes entidades: CCDR LVT, APA/ARH Tejo e Oeste, ICNF, DGPC, LNEG e DRE LVT.</w:t>
            </w:r>
          </w:p>
          <w:p w:rsidR="00FE1F04" w:rsidRPr="00FE1F04" w:rsidRDefault="008E426B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4D71C5">
              <w:rPr>
                <w:rFonts w:ascii="Calibri" w:hAnsi="Calibri" w:cs="Arial"/>
                <w:szCs w:val="22"/>
              </w:rPr>
              <w:t>Como entidades externas fo</w:t>
            </w:r>
            <w:r w:rsidR="006333D0" w:rsidRPr="004D71C5">
              <w:rPr>
                <w:rFonts w:ascii="Calibri" w:hAnsi="Calibri" w:cs="Arial"/>
                <w:szCs w:val="22"/>
              </w:rPr>
              <w:t>ram</w:t>
            </w:r>
            <w:r w:rsidRPr="004D71C5">
              <w:rPr>
                <w:rFonts w:ascii="Calibri" w:hAnsi="Calibri" w:cs="Arial"/>
                <w:szCs w:val="22"/>
              </w:rPr>
              <w:t xml:space="preserve"> consultada</w:t>
            </w:r>
            <w:r w:rsidR="006333D0" w:rsidRPr="004D71C5">
              <w:rPr>
                <w:rFonts w:ascii="Calibri" w:hAnsi="Calibri" w:cs="Arial"/>
                <w:szCs w:val="22"/>
              </w:rPr>
              <w:t>s</w:t>
            </w:r>
            <w:r w:rsidR="00FE1F04" w:rsidRPr="004D71C5">
              <w:rPr>
                <w:rFonts w:ascii="Calibri" w:hAnsi="Calibri" w:cs="Arial"/>
                <w:szCs w:val="22"/>
              </w:rPr>
              <w:t xml:space="preserve"> </w:t>
            </w:r>
            <w:r w:rsidRPr="004D71C5">
              <w:rPr>
                <w:rFonts w:ascii="Calibri" w:hAnsi="Calibri" w:cs="Arial"/>
                <w:szCs w:val="22"/>
              </w:rPr>
              <w:t xml:space="preserve">a </w:t>
            </w:r>
            <w:r w:rsidR="00FE1F04" w:rsidRPr="004D71C5">
              <w:rPr>
                <w:rFonts w:ascii="Calibri" w:hAnsi="Calibri" w:cs="Arial"/>
                <w:szCs w:val="22"/>
              </w:rPr>
              <w:t xml:space="preserve">CM de Rio Maior, </w:t>
            </w:r>
            <w:r w:rsidRPr="004D71C5">
              <w:rPr>
                <w:rFonts w:ascii="Calibri" w:hAnsi="Calibri" w:cs="Arial"/>
                <w:szCs w:val="22"/>
              </w:rPr>
              <w:t xml:space="preserve">a </w:t>
            </w:r>
            <w:r w:rsidR="00FE1F04" w:rsidRPr="004D71C5">
              <w:rPr>
                <w:rFonts w:ascii="Calibri" w:hAnsi="Calibri" w:cs="Arial"/>
                <w:szCs w:val="22"/>
              </w:rPr>
              <w:t xml:space="preserve">DGEG, </w:t>
            </w:r>
            <w:r w:rsidRPr="004D71C5">
              <w:rPr>
                <w:rFonts w:ascii="Calibri" w:hAnsi="Calibri" w:cs="Arial"/>
                <w:szCs w:val="22"/>
              </w:rPr>
              <w:t xml:space="preserve">a </w:t>
            </w:r>
            <w:r w:rsidR="00FE1F04" w:rsidRPr="004D71C5">
              <w:rPr>
                <w:rFonts w:ascii="Calibri" w:hAnsi="Calibri" w:cs="Arial"/>
                <w:szCs w:val="22"/>
              </w:rPr>
              <w:t>Assimagra e</w:t>
            </w:r>
            <w:r w:rsidRPr="004D71C5">
              <w:rPr>
                <w:rFonts w:ascii="Calibri" w:hAnsi="Calibri" w:cs="Arial"/>
                <w:szCs w:val="22"/>
              </w:rPr>
              <w:t xml:space="preserve"> a</w:t>
            </w:r>
            <w:r w:rsidR="00FE1F04" w:rsidRPr="004D71C5">
              <w:rPr>
                <w:rFonts w:ascii="Calibri" w:hAnsi="Calibri" w:cs="Arial"/>
                <w:szCs w:val="22"/>
              </w:rPr>
              <w:t xml:space="preserve"> ANPC.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4. Em 5.12.2013 foi solicitado ao proponente, nos termos do nº 8 do art.º 14º do Decreto-Lei nº 151-B/2013, a apresentação de elementos adicionais, tendo o prazo sido interrompido a 4.12.2013.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5. Em 5.02.2014 deu entrada na CCDR LVT o Aditamento ao EIA, com os elementos solicitados.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6. A Declaração de Conformidade foi emitida em 14.02.2014.</w:t>
            </w:r>
          </w:p>
          <w:p w:rsidR="00FE1F04" w:rsidRPr="00FE1F04" w:rsidRDefault="00FE1F0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FE1F04">
              <w:rPr>
                <w:rFonts w:ascii="Calibri" w:hAnsi="Calibri" w:cs="Arial"/>
                <w:szCs w:val="22"/>
              </w:rPr>
              <w:t>7. Em 17.03.2014 foi efetuada visita ao local</w:t>
            </w:r>
          </w:p>
          <w:p w:rsidR="00FE1F04" w:rsidRDefault="005B6D7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</w:t>
            </w:r>
            <w:r w:rsidR="00FE1F04" w:rsidRPr="00FE1F04">
              <w:rPr>
                <w:rFonts w:ascii="Calibri" w:hAnsi="Calibri" w:cs="Arial"/>
                <w:szCs w:val="22"/>
              </w:rPr>
              <w:t xml:space="preserve"> A Consulta Pública teve início no dia 25 de fevereiro de 2014 e o seu termo no dia 24 de março de 2014. </w:t>
            </w:r>
          </w:p>
          <w:p w:rsidR="00FE1F04" w:rsidRPr="00FE1F04" w:rsidRDefault="005B6D74" w:rsidP="00FE1F04">
            <w:pPr>
              <w:pStyle w:val="Paula"/>
              <w:widowControl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</w:t>
            </w:r>
            <w:r w:rsidR="00FE1F04">
              <w:rPr>
                <w:rFonts w:ascii="Calibri" w:hAnsi="Calibri" w:cs="Arial"/>
                <w:szCs w:val="22"/>
              </w:rPr>
              <w:t xml:space="preserve"> O parecer final da Comissão de </w:t>
            </w:r>
            <w:r w:rsidR="0001570F">
              <w:rPr>
                <w:rFonts w:ascii="Calibri" w:hAnsi="Calibri" w:cs="Arial"/>
                <w:szCs w:val="22"/>
              </w:rPr>
              <w:t>A</w:t>
            </w:r>
            <w:r w:rsidR="00FE1F04">
              <w:rPr>
                <w:rFonts w:ascii="Calibri" w:hAnsi="Calibri" w:cs="Arial"/>
                <w:szCs w:val="22"/>
              </w:rPr>
              <w:t xml:space="preserve">valiação integrou os </w:t>
            </w:r>
            <w:r>
              <w:rPr>
                <w:rFonts w:ascii="Calibri" w:hAnsi="Calibri" w:cs="Arial"/>
                <w:szCs w:val="22"/>
              </w:rPr>
              <w:t xml:space="preserve">pareceres setoriais, os </w:t>
            </w:r>
            <w:r w:rsidR="00FE1F04">
              <w:rPr>
                <w:rFonts w:ascii="Calibri" w:hAnsi="Calibri" w:cs="Arial"/>
                <w:szCs w:val="22"/>
              </w:rPr>
              <w:t xml:space="preserve">pareceres </w:t>
            </w:r>
            <w:r>
              <w:rPr>
                <w:rFonts w:ascii="Calibri" w:hAnsi="Calibri" w:cs="Arial"/>
                <w:szCs w:val="22"/>
              </w:rPr>
              <w:t xml:space="preserve">das entidades externas e </w:t>
            </w:r>
            <w:r w:rsidR="00FE1F04">
              <w:rPr>
                <w:rFonts w:ascii="Calibri" w:hAnsi="Calibri" w:cs="Arial"/>
                <w:szCs w:val="22"/>
              </w:rPr>
              <w:t>o resultado da Consulta Pública.</w:t>
            </w:r>
          </w:p>
          <w:p w:rsidR="00FE1F04" w:rsidRDefault="00F64B65" w:rsidP="00FE1F0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10. Em 21.05.2014 foi enviado ao proponente a proposta de DIA, bem como o </w:t>
            </w:r>
            <w:r>
              <w:rPr>
                <w:rFonts w:ascii="Calibri" w:hAnsi="Calibri" w:cs="Arial"/>
                <w:szCs w:val="22"/>
              </w:rPr>
              <w:lastRenderedPageBreak/>
              <w:t>parecer da CA e o Relatório da Consulta Pública.</w:t>
            </w:r>
          </w:p>
          <w:p w:rsidR="00F64B65" w:rsidRDefault="00F64B65" w:rsidP="00430C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11. Em 12.06.2014 deu entrada na CCDRLVT a resposta do proponente à Proposta de DIA.</w:t>
            </w:r>
          </w:p>
          <w:p w:rsidR="00430C68" w:rsidRDefault="00430C68" w:rsidP="00430C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12. As alegações apresentadas pelo proponente foram analisadas, tendo-se concluído pela manutenção </w:t>
            </w:r>
            <w:proofErr w:type="gramStart"/>
            <w:r w:rsidR="00B0085F">
              <w:rPr>
                <w:rFonts w:ascii="Calibri" w:hAnsi="Calibri" w:cs="Arial"/>
                <w:szCs w:val="22"/>
              </w:rPr>
              <w:t>da DIA Favorável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</w:t>
            </w:r>
            <w:r w:rsidR="00B0085F">
              <w:rPr>
                <w:rFonts w:ascii="Calibri" w:hAnsi="Calibri" w:cs="Arial"/>
                <w:szCs w:val="22"/>
              </w:rPr>
              <w:t>Condicionada.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</w:p>
          <w:p w:rsidR="00FE1F04" w:rsidRPr="004011E4" w:rsidRDefault="00FE1F04" w:rsidP="00FE1F0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szCs w:val="22"/>
              </w:rPr>
            </w:pPr>
            <w:proofErr w:type="gramStart"/>
            <w:r w:rsidRPr="004011E4">
              <w:rPr>
                <w:rFonts w:ascii="Calibri" w:hAnsi="Calibri" w:cs="Arial"/>
                <w:b/>
                <w:szCs w:val="22"/>
              </w:rPr>
              <w:t xml:space="preserve">II.  </w:t>
            </w:r>
            <w:proofErr w:type="gramEnd"/>
            <w:r w:rsidRPr="004011E4">
              <w:rPr>
                <w:rFonts w:ascii="Calibri" w:hAnsi="Calibri" w:cs="Arial"/>
                <w:b/>
                <w:szCs w:val="22"/>
              </w:rPr>
              <w:t>Pareceres Externos</w:t>
            </w:r>
          </w:p>
          <w:p w:rsidR="00445028" w:rsidRPr="00FD6353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 xml:space="preserve">Foram solicitados pareceres externos à Câmara Municipal de Rio Maior (CMRM), Direção Geral de Energia e Geologia </w:t>
            </w:r>
            <w:r>
              <w:rPr>
                <w:rFonts w:ascii="Calibri" w:hAnsi="Calibri" w:cs="Arial"/>
                <w:szCs w:val="22"/>
              </w:rPr>
              <w:t>(DGEG),</w:t>
            </w:r>
            <w:r w:rsidRPr="006321EF">
              <w:rPr>
                <w:rFonts w:ascii="Calibri" w:hAnsi="Calibri" w:cs="Arial"/>
                <w:szCs w:val="22"/>
              </w:rPr>
              <w:t xml:space="preserve"> Assimagra</w:t>
            </w:r>
            <w:r>
              <w:rPr>
                <w:rFonts w:ascii="Calibri" w:hAnsi="Calibri" w:cs="Arial"/>
                <w:szCs w:val="22"/>
              </w:rPr>
              <w:t xml:space="preserve"> – Associação Portuguesa dos Industriais de Mármores e Ramos </w:t>
            </w:r>
            <w:proofErr w:type="gramStart"/>
            <w:r>
              <w:rPr>
                <w:rFonts w:ascii="Calibri" w:hAnsi="Calibri" w:cs="Arial"/>
                <w:szCs w:val="22"/>
              </w:rPr>
              <w:t>Afins ,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Autoridade Nacional de Proteção Civil (ANPC) e </w:t>
            </w:r>
            <w:r>
              <w:t xml:space="preserve">o </w:t>
            </w:r>
            <w:r w:rsidRPr="00FD6353">
              <w:rPr>
                <w:rFonts w:ascii="Calibri" w:hAnsi="Calibri"/>
                <w:szCs w:val="22"/>
              </w:rPr>
              <w:t>ICP-ANACOM</w:t>
            </w:r>
          </w:p>
          <w:p w:rsidR="00445028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E91E49">
              <w:rPr>
                <w:rFonts w:ascii="Calibri" w:hAnsi="Calibri" w:cs="Arial"/>
                <w:szCs w:val="22"/>
              </w:rPr>
              <w:t>A</w:t>
            </w:r>
            <w:r>
              <w:rPr>
                <w:rFonts w:ascii="Calibri" w:hAnsi="Calibri" w:cs="Arial"/>
                <w:b/>
                <w:szCs w:val="22"/>
              </w:rPr>
              <w:t xml:space="preserve"> C</w:t>
            </w:r>
            <w:r w:rsidRPr="006321EF">
              <w:rPr>
                <w:rFonts w:ascii="Calibri" w:hAnsi="Calibri" w:cs="Arial"/>
                <w:b/>
                <w:szCs w:val="22"/>
              </w:rPr>
              <w:t>MRM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E91E49">
              <w:rPr>
                <w:rFonts w:ascii="Calibri" w:hAnsi="Calibri" w:cs="Arial"/>
                <w:szCs w:val="22"/>
              </w:rPr>
              <w:t>informa que o projeto se situa em áreas do Parque Natural das Serras de Aire e Candeeiros, em Áreas de Proteção Parcial do Tipo I, Áreas de Proteção Parcial do Tipo II e Áreas de Proteção Complementar Tipo II.</w:t>
            </w:r>
          </w:p>
          <w:p w:rsidR="00445028" w:rsidRPr="00E91E49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Em termos de PDM refere que o projeto afeta áreas de matos de proteção e áreas de floresta de proteção incluídas na REN e salientando que nestas áreas é interdito o projeto. </w:t>
            </w:r>
          </w:p>
          <w:p w:rsidR="00445028" w:rsidRPr="00CE09F1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CE09F1">
              <w:rPr>
                <w:rFonts w:ascii="Calibri" w:hAnsi="Calibri" w:cs="Arial"/>
                <w:szCs w:val="22"/>
              </w:rPr>
              <w:t>Por último salienta que o projeto encontra-se totalmente inserido em áreas da REN.</w:t>
            </w:r>
          </w:p>
          <w:p w:rsidR="00445028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CE09F1">
              <w:rPr>
                <w:rFonts w:ascii="Calibri" w:hAnsi="Calibri" w:cs="Arial"/>
                <w:szCs w:val="22"/>
              </w:rPr>
              <w:t>A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6321EF">
              <w:rPr>
                <w:rFonts w:ascii="Calibri" w:hAnsi="Calibri" w:cs="Arial"/>
                <w:b/>
                <w:szCs w:val="22"/>
              </w:rPr>
              <w:t>DGEG</w:t>
            </w:r>
            <w:r w:rsidRPr="006321EF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 xml:space="preserve">emite parecer favorável ao projeto e </w:t>
            </w:r>
            <w:r w:rsidRPr="006321EF">
              <w:rPr>
                <w:rFonts w:ascii="Calibri" w:hAnsi="Calibri" w:cs="Arial"/>
                <w:szCs w:val="22"/>
              </w:rPr>
              <w:t xml:space="preserve">refere que a área </w:t>
            </w:r>
            <w:r>
              <w:rPr>
                <w:rFonts w:ascii="Calibri" w:hAnsi="Calibri" w:cs="Arial"/>
                <w:szCs w:val="22"/>
              </w:rPr>
              <w:t>em estudo possui</w:t>
            </w:r>
            <w:r w:rsidRPr="006321EF">
              <w:rPr>
                <w:rFonts w:ascii="Calibri" w:hAnsi="Calibri" w:cs="Arial"/>
                <w:szCs w:val="22"/>
              </w:rPr>
              <w:t xml:space="preserve"> características com possível interesse económico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445028" w:rsidRPr="006321EF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 </w:t>
            </w:r>
            <w:r w:rsidRPr="006321EF">
              <w:rPr>
                <w:rFonts w:ascii="Calibri" w:hAnsi="Calibri" w:cs="Arial"/>
                <w:b/>
                <w:szCs w:val="22"/>
              </w:rPr>
              <w:t>Assimagra</w:t>
            </w:r>
            <w:r w:rsidRPr="006321EF">
              <w:rPr>
                <w:rFonts w:ascii="Calibri" w:hAnsi="Calibri" w:cs="Arial"/>
                <w:szCs w:val="22"/>
              </w:rPr>
              <w:t xml:space="preserve"> refere </w:t>
            </w:r>
            <w:r>
              <w:rPr>
                <w:rFonts w:ascii="Calibri" w:hAnsi="Calibri" w:cs="Arial"/>
                <w:szCs w:val="22"/>
              </w:rPr>
              <w:t>que o projeto</w:t>
            </w:r>
            <w:r w:rsidRPr="006321EF">
              <w:rPr>
                <w:rFonts w:ascii="Calibri" w:hAnsi="Calibri" w:cs="Arial"/>
                <w:szCs w:val="22"/>
              </w:rPr>
              <w:t xml:space="preserve"> integra-se parcialmente na</w:t>
            </w:r>
            <w:r>
              <w:rPr>
                <w:rFonts w:ascii="Calibri" w:hAnsi="Calibri" w:cs="Arial"/>
                <w:szCs w:val="22"/>
              </w:rPr>
              <w:t xml:space="preserve"> Área de Intervenção Especial (A</w:t>
            </w:r>
            <w:r w:rsidRPr="006321EF">
              <w:rPr>
                <w:rFonts w:ascii="Calibri" w:hAnsi="Calibri" w:cs="Arial"/>
                <w:szCs w:val="22"/>
              </w:rPr>
              <w:t>IE</w:t>
            </w:r>
            <w:r>
              <w:rPr>
                <w:rFonts w:ascii="Calibri" w:hAnsi="Calibri" w:cs="Arial"/>
                <w:szCs w:val="22"/>
              </w:rPr>
              <w:t>) da</w:t>
            </w:r>
            <w:r w:rsidRPr="006321EF">
              <w:rPr>
                <w:rFonts w:ascii="Calibri" w:hAnsi="Calibri" w:cs="Arial"/>
                <w:szCs w:val="22"/>
              </w:rPr>
              <w:t xml:space="preserve"> Portela das Salgueiras, para a qual se encontra em elaboração o Plano de Intervenção Em Espaço Rural (PIER) e o Projeto Integrado (PI)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445028" w:rsidRPr="006321EF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Informa que c</w:t>
            </w:r>
            <w:r w:rsidRPr="006321EF">
              <w:rPr>
                <w:rFonts w:ascii="Calibri" w:hAnsi="Calibri" w:cs="Arial"/>
                <w:szCs w:val="22"/>
              </w:rPr>
              <w:t>om a aprovação do PIER, será permitida a compatibilização da atividade extrativa com as condicionantes legais, cumprindo o objetivo de ordenamento dos espaços de exploração, a definição de metodologias e regras de exploração</w:t>
            </w:r>
            <w:r>
              <w:rPr>
                <w:rFonts w:ascii="Calibri" w:hAnsi="Calibri" w:cs="Arial"/>
                <w:szCs w:val="22"/>
              </w:rPr>
              <w:t xml:space="preserve"> e de recuperação paisagística, sendo que, de acordo com a proposta existente, a</w:t>
            </w:r>
            <w:r w:rsidRPr="006321EF">
              <w:rPr>
                <w:rFonts w:ascii="Calibri" w:hAnsi="Calibri" w:cs="Arial"/>
                <w:szCs w:val="22"/>
              </w:rPr>
              <w:t xml:space="preserve">penas uma pequena área </w:t>
            </w:r>
            <w:r w:rsidR="006333D0" w:rsidRPr="004D71C5">
              <w:rPr>
                <w:rFonts w:ascii="Calibri" w:hAnsi="Calibri" w:cs="Arial"/>
                <w:szCs w:val="22"/>
              </w:rPr>
              <w:t>localizada a E</w:t>
            </w:r>
            <w:r w:rsidRPr="004D71C5">
              <w:rPr>
                <w:rFonts w:ascii="Calibri" w:hAnsi="Calibri" w:cs="Arial"/>
                <w:szCs w:val="22"/>
              </w:rPr>
              <w:t>ste</w:t>
            </w:r>
            <w:r w:rsidRPr="006321EF">
              <w:rPr>
                <w:rFonts w:ascii="Calibri" w:hAnsi="Calibri" w:cs="Arial"/>
                <w:szCs w:val="22"/>
              </w:rPr>
              <w:t xml:space="preserve"> não </w:t>
            </w:r>
            <w:r>
              <w:rPr>
                <w:rFonts w:ascii="Calibri" w:hAnsi="Calibri" w:cs="Arial"/>
                <w:szCs w:val="22"/>
              </w:rPr>
              <w:t>será</w:t>
            </w:r>
            <w:r w:rsidRPr="006321EF">
              <w:rPr>
                <w:rFonts w:ascii="Calibri" w:hAnsi="Calibri" w:cs="Arial"/>
                <w:szCs w:val="22"/>
              </w:rPr>
              <w:t xml:space="preserve"> compatível com a atividade extrativa.</w:t>
            </w:r>
          </w:p>
          <w:p w:rsidR="00445028" w:rsidRPr="006321EF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lastRenderedPageBreak/>
              <w:t>Por último informa que a</w:t>
            </w:r>
            <w:r w:rsidRPr="006321EF">
              <w:rPr>
                <w:rFonts w:ascii="Calibri" w:hAnsi="Calibri" w:cs="Arial"/>
                <w:szCs w:val="22"/>
              </w:rPr>
              <w:t xml:space="preserve"> lavra proposta não é coincidente com a </w:t>
            </w:r>
            <w:r>
              <w:rPr>
                <w:rFonts w:ascii="Calibri" w:hAnsi="Calibri" w:cs="Arial"/>
                <w:szCs w:val="22"/>
              </w:rPr>
              <w:t>proposta no PI, n</w:t>
            </w:r>
            <w:r w:rsidRPr="006321EF">
              <w:rPr>
                <w:rFonts w:ascii="Calibri" w:hAnsi="Calibri" w:cs="Arial"/>
                <w:szCs w:val="22"/>
              </w:rPr>
              <w:t xml:space="preserve">o entanto, com a aprovação </w:t>
            </w:r>
            <w:r>
              <w:rPr>
                <w:rFonts w:ascii="Calibri" w:hAnsi="Calibri" w:cs="Arial"/>
                <w:szCs w:val="22"/>
              </w:rPr>
              <w:t>deste plano</w:t>
            </w:r>
            <w:r w:rsidRPr="006321EF">
              <w:rPr>
                <w:rFonts w:ascii="Calibri" w:hAnsi="Calibri" w:cs="Arial"/>
                <w:szCs w:val="22"/>
              </w:rPr>
              <w:t xml:space="preserve">, também sujeito a procedimento de Avaliação de Impacte Ambiental, </w:t>
            </w:r>
            <w:r>
              <w:rPr>
                <w:rFonts w:ascii="Calibri" w:hAnsi="Calibri" w:cs="Arial"/>
                <w:szCs w:val="22"/>
              </w:rPr>
              <w:t>o proponente</w:t>
            </w:r>
            <w:r w:rsidRPr="006321EF">
              <w:rPr>
                <w:rFonts w:ascii="Calibri" w:hAnsi="Calibri" w:cs="Arial"/>
                <w:szCs w:val="22"/>
              </w:rPr>
              <w:t xml:space="preserve"> terá que adaptar o Plano de Pedreira ao PI</w:t>
            </w:r>
            <w:r>
              <w:rPr>
                <w:rFonts w:ascii="Calibri" w:hAnsi="Calibri" w:cs="Arial"/>
                <w:szCs w:val="22"/>
              </w:rPr>
              <w:t>.</w:t>
            </w:r>
            <w:r w:rsidRPr="006321EF">
              <w:rPr>
                <w:rFonts w:ascii="Calibri" w:hAnsi="Calibri" w:cs="Arial"/>
                <w:szCs w:val="22"/>
              </w:rPr>
              <w:t xml:space="preserve"> </w:t>
            </w:r>
          </w:p>
          <w:p w:rsidR="00445028" w:rsidRDefault="00445028" w:rsidP="00445028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 </w:t>
            </w:r>
            <w:r w:rsidRPr="00FD6353">
              <w:rPr>
                <w:rFonts w:ascii="Calibri" w:hAnsi="Calibri" w:cs="Arial"/>
                <w:b/>
                <w:szCs w:val="22"/>
              </w:rPr>
              <w:t>ANPC</w:t>
            </w:r>
            <w:r>
              <w:rPr>
                <w:rFonts w:ascii="Calibri" w:hAnsi="Calibri" w:cs="Arial"/>
                <w:szCs w:val="22"/>
              </w:rPr>
              <w:t xml:space="preserve"> emite parecer favorável, condicionado á implementação das medidas de minimização constantes do Anexo I</w:t>
            </w:r>
            <w:r w:rsidR="005B6D74">
              <w:rPr>
                <w:rFonts w:ascii="Calibri" w:hAnsi="Calibri" w:cs="Arial"/>
                <w:szCs w:val="22"/>
              </w:rPr>
              <w:t xml:space="preserve"> do EIA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FE1F04" w:rsidRPr="00445028" w:rsidRDefault="00445028" w:rsidP="005B6D74">
            <w:pPr>
              <w:spacing w:before="120" w:line="360" w:lineRule="auto"/>
              <w:rPr>
                <w:rFonts w:ascii="Calibri" w:hAnsi="Calibri"/>
                <w:szCs w:val="22"/>
              </w:rPr>
            </w:pPr>
            <w:r>
              <w:t xml:space="preserve"> </w:t>
            </w:r>
            <w:r w:rsidRPr="00FD6353">
              <w:rPr>
                <w:rFonts w:ascii="Calibri" w:hAnsi="Calibri"/>
                <w:b/>
                <w:szCs w:val="22"/>
              </w:rPr>
              <w:t>ICP-ANACOM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não se pronunciou.</w:t>
            </w:r>
            <w:r w:rsidR="004011E4">
              <w:rPr>
                <w:rFonts w:ascii="Calibri" w:hAnsi="Calibri" w:cs="Arial"/>
                <w:szCs w:val="22"/>
              </w:rPr>
              <w:t xml:space="preserve"> </w:t>
            </w:r>
          </w:p>
        </w:tc>
      </w:tr>
    </w:tbl>
    <w:p w:rsidR="003B4E34" w:rsidRPr="00522712" w:rsidRDefault="003B4E34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522712" w:rsidTr="008D317F">
        <w:trPr>
          <w:trHeight w:val="286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8C19DC" w:rsidRDefault="003B4E34" w:rsidP="004953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8C19DC">
              <w:rPr>
                <w:rFonts w:cs="Arial"/>
                <w:b/>
                <w:sz w:val="18"/>
                <w:szCs w:val="18"/>
              </w:rPr>
              <w:t>Resumo do resultado da consulta pública: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2F" w:rsidRDefault="00154BF4" w:rsidP="00D97A0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 w:rsidRPr="00D97A02">
              <w:rPr>
                <w:rFonts w:asciiTheme="minorHAnsi" w:hAnsiTheme="minorHAnsi" w:cs="Arial"/>
                <w:szCs w:val="22"/>
              </w:rPr>
              <w:t>Dado que o projeto se integra</w:t>
            </w:r>
            <w:r w:rsidR="00D97A02" w:rsidRPr="00D97A02">
              <w:rPr>
                <w:rFonts w:asciiTheme="minorHAnsi" w:hAnsiTheme="minorHAnsi" w:cs="Arial"/>
                <w:szCs w:val="22"/>
              </w:rPr>
              <w:t xml:space="preserve"> </w:t>
            </w:r>
            <w:r w:rsidR="005B6D74">
              <w:rPr>
                <w:rFonts w:asciiTheme="minorHAnsi" w:hAnsiTheme="minorHAnsi" w:cs="Arial"/>
                <w:szCs w:val="22"/>
              </w:rPr>
              <w:t>numa tipologia de projeto contida no</w:t>
            </w:r>
            <w:r w:rsidR="00D97A02" w:rsidRPr="00D97A02">
              <w:rPr>
                <w:rFonts w:asciiTheme="minorHAnsi" w:hAnsiTheme="minorHAnsi" w:cs="Arial"/>
                <w:szCs w:val="22"/>
              </w:rPr>
              <w:t xml:space="preserve"> nº 2 do Anexo II, do Decreto</w:t>
            </w:r>
            <w:r w:rsidR="00D97A02">
              <w:rPr>
                <w:rFonts w:asciiTheme="minorHAnsi" w:hAnsiTheme="minorHAnsi" w:cs="Arial"/>
                <w:szCs w:val="22"/>
              </w:rPr>
              <w:t>-</w:t>
            </w:r>
            <w:r w:rsidR="00D97A02" w:rsidRPr="00D97A02">
              <w:rPr>
                <w:rFonts w:asciiTheme="minorHAnsi" w:hAnsiTheme="minorHAnsi" w:cs="Arial"/>
                <w:szCs w:val="22"/>
              </w:rPr>
              <w:t xml:space="preserve"> Lei nº 151-B/2013, de 31 de outubro</w:t>
            </w:r>
            <w:r w:rsidRPr="00D97A02">
              <w:rPr>
                <w:rFonts w:asciiTheme="minorHAnsi" w:hAnsiTheme="minorHAnsi" w:cs="Arial"/>
                <w:szCs w:val="22"/>
              </w:rPr>
              <w:t xml:space="preserve">, a consulta pública, nos termos do seu artigo 14.º, n.º 2, decorreu durante </w:t>
            </w:r>
            <w:r w:rsidR="00D97A02">
              <w:rPr>
                <w:rFonts w:asciiTheme="minorHAnsi" w:hAnsiTheme="minorHAnsi" w:cs="Arial"/>
                <w:szCs w:val="22"/>
              </w:rPr>
              <w:t>20</w:t>
            </w:r>
            <w:r w:rsidRPr="00D97A02">
              <w:rPr>
                <w:rFonts w:asciiTheme="minorHAnsi" w:hAnsiTheme="minorHAnsi" w:cs="Arial"/>
                <w:szCs w:val="22"/>
              </w:rPr>
              <w:t xml:space="preserve"> dias úteis</w:t>
            </w:r>
            <w:r w:rsidR="003D2AA2" w:rsidRPr="00D97A02">
              <w:rPr>
                <w:rFonts w:asciiTheme="minorHAnsi" w:hAnsiTheme="minorHAnsi" w:cs="Arial"/>
                <w:szCs w:val="22"/>
              </w:rPr>
              <w:t xml:space="preserve">, de </w:t>
            </w:r>
            <w:r w:rsidR="00D97A02">
              <w:rPr>
                <w:rFonts w:asciiTheme="minorHAnsi" w:hAnsiTheme="minorHAnsi" w:cs="Arial"/>
                <w:szCs w:val="22"/>
              </w:rPr>
              <w:t>25</w:t>
            </w:r>
            <w:r w:rsidR="0054312F" w:rsidRPr="00471C5C">
              <w:rPr>
                <w:rFonts w:asciiTheme="minorHAnsi" w:hAnsiTheme="minorHAnsi" w:cs="Arial"/>
                <w:szCs w:val="22"/>
              </w:rPr>
              <w:t xml:space="preserve"> </w:t>
            </w:r>
            <w:r w:rsidR="0054312F" w:rsidRPr="00D97A02">
              <w:rPr>
                <w:rFonts w:asciiTheme="minorHAnsi" w:hAnsiTheme="minorHAnsi" w:cs="Arial"/>
                <w:szCs w:val="22"/>
              </w:rPr>
              <w:t xml:space="preserve">de </w:t>
            </w:r>
            <w:r w:rsidR="00D97A02" w:rsidRPr="00D97A02">
              <w:rPr>
                <w:rFonts w:asciiTheme="minorHAnsi" w:hAnsiTheme="minorHAnsi" w:cs="Arial"/>
                <w:szCs w:val="22"/>
              </w:rPr>
              <w:t>fevereiro</w:t>
            </w:r>
            <w:r w:rsidR="0054312F" w:rsidRPr="00D97A02">
              <w:rPr>
                <w:rFonts w:asciiTheme="minorHAnsi" w:hAnsiTheme="minorHAnsi" w:cs="Arial"/>
                <w:szCs w:val="22"/>
              </w:rPr>
              <w:t xml:space="preserve"> a </w:t>
            </w:r>
            <w:r w:rsidR="00D97A02" w:rsidRPr="00D97A02">
              <w:rPr>
                <w:rFonts w:asciiTheme="minorHAnsi" w:hAnsiTheme="minorHAnsi" w:cs="Arial"/>
                <w:szCs w:val="22"/>
              </w:rPr>
              <w:t>24</w:t>
            </w:r>
            <w:r w:rsidR="0054312F" w:rsidRPr="00D97A02">
              <w:rPr>
                <w:rFonts w:asciiTheme="minorHAnsi" w:hAnsiTheme="minorHAnsi" w:cs="Arial"/>
                <w:szCs w:val="22"/>
              </w:rPr>
              <w:t xml:space="preserve"> de </w:t>
            </w:r>
            <w:r w:rsidR="00D97A02" w:rsidRPr="00471C5C">
              <w:rPr>
                <w:rFonts w:asciiTheme="minorHAnsi" w:hAnsiTheme="minorHAnsi" w:cs="Arial"/>
                <w:szCs w:val="22"/>
              </w:rPr>
              <w:t>março</w:t>
            </w:r>
            <w:r w:rsidR="00791FB2" w:rsidRPr="00471C5C">
              <w:rPr>
                <w:rFonts w:asciiTheme="minorHAnsi" w:hAnsiTheme="minorHAnsi" w:cs="Arial"/>
                <w:szCs w:val="22"/>
              </w:rPr>
              <w:t xml:space="preserve"> de 201</w:t>
            </w:r>
            <w:r w:rsidR="00D97A02" w:rsidRPr="00471C5C">
              <w:rPr>
                <w:rFonts w:asciiTheme="minorHAnsi" w:hAnsiTheme="minorHAnsi" w:cs="Arial"/>
                <w:szCs w:val="22"/>
              </w:rPr>
              <w:t>4</w:t>
            </w:r>
            <w:r w:rsidR="003D2AA2" w:rsidRPr="00791FB2">
              <w:rPr>
                <w:rFonts w:cs="Arial"/>
                <w:sz w:val="18"/>
                <w:szCs w:val="18"/>
              </w:rPr>
              <w:t>.</w:t>
            </w:r>
          </w:p>
          <w:p w:rsidR="00D97A02" w:rsidRPr="002316E9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 xml:space="preserve">No âmbito da Consulta Pública foram rececionados </w:t>
            </w:r>
            <w:r>
              <w:rPr>
                <w:rFonts w:ascii="Calibri" w:hAnsi="Calibri" w:cs="Arial"/>
                <w:szCs w:val="22"/>
              </w:rPr>
              <w:t xml:space="preserve">os contributos da </w:t>
            </w:r>
            <w:r w:rsidRPr="002316E9">
              <w:rPr>
                <w:rFonts w:ascii="Calibri" w:hAnsi="Calibri" w:cs="Arial"/>
                <w:szCs w:val="22"/>
              </w:rPr>
              <w:t>Sociedade Portuguesa de Espeleologia e da Rádio Maior FM.</w:t>
            </w:r>
          </w:p>
          <w:p w:rsidR="00D97A02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 </w:t>
            </w:r>
            <w:r w:rsidRPr="002316E9">
              <w:rPr>
                <w:rFonts w:ascii="Calibri" w:hAnsi="Calibri" w:cs="Arial"/>
                <w:b/>
                <w:szCs w:val="22"/>
              </w:rPr>
              <w:t>Sociedade Portuguesa de Espeleologia</w:t>
            </w:r>
            <w:r w:rsidRPr="006321EF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6321EF">
              <w:rPr>
                <w:rFonts w:ascii="Calibri" w:hAnsi="Calibri" w:cs="Arial"/>
                <w:szCs w:val="22"/>
              </w:rPr>
              <w:t xml:space="preserve">menciona que </w:t>
            </w:r>
            <w:r>
              <w:rPr>
                <w:rFonts w:ascii="Calibri" w:hAnsi="Calibri" w:cs="Arial"/>
                <w:szCs w:val="22"/>
              </w:rPr>
              <w:t>o projeto</w:t>
            </w:r>
            <w:r w:rsidRPr="006321EF">
              <w:rPr>
                <w:rFonts w:ascii="Calibri" w:hAnsi="Calibri" w:cs="Arial"/>
                <w:szCs w:val="22"/>
              </w:rPr>
              <w:t xml:space="preserve"> situa-se numa área cuja integridade deverá ser defendida pelas entidades responsáveis pela conservação da área protegid</w:t>
            </w:r>
            <w:r>
              <w:rPr>
                <w:rFonts w:ascii="Calibri" w:hAnsi="Calibri" w:cs="Arial"/>
                <w:szCs w:val="22"/>
              </w:rPr>
              <w:t>a.</w:t>
            </w:r>
          </w:p>
          <w:p w:rsidR="00D97A02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Considera que a</w:t>
            </w:r>
            <w:r w:rsidRPr="006321EF">
              <w:rPr>
                <w:rFonts w:ascii="Calibri" w:hAnsi="Calibri" w:cs="Arial"/>
                <w:szCs w:val="22"/>
              </w:rPr>
              <w:t xml:space="preserve"> matéria-prima extraída para exportação</w:t>
            </w:r>
            <w:r>
              <w:rPr>
                <w:rFonts w:ascii="Calibri" w:hAnsi="Calibri" w:cs="Arial"/>
                <w:szCs w:val="22"/>
              </w:rPr>
              <w:t xml:space="preserve"> apenas contribui</w:t>
            </w:r>
            <w:r w:rsidRPr="002316E9">
              <w:rPr>
                <w:rFonts w:ascii="Calibri" w:hAnsi="Calibri" w:cs="Arial"/>
                <w:szCs w:val="22"/>
              </w:rPr>
              <w:t xml:space="preserve"> </w:t>
            </w:r>
            <w:r w:rsidRPr="006321EF">
              <w:rPr>
                <w:rFonts w:ascii="Calibri" w:hAnsi="Calibri" w:cs="Arial"/>
                <w:szCs w:val="22"/>
              </w:rPr>
              <w:t>para a escassez do recurso natural</w:t>
            </w:r>
            <w:r>
              <w:rPr>
                <w:rFonts w:ascii="Calibri" w:hAnsi="Calibri" w:cs="Arial"/>
                <w:szCs w:val="22"/>
              </w:rPr>
              <w:t xml:space="preserve">, sendo o seu contributo </w:t>
            </w:r>
            <w:r w:rsidRPr="006321EF">
              <w:rPr>
                <w:rFonts w:ascii="Calibri" w:hAnsi="Calibri" w:cs="Arial"/>
                <w:szCs w:val="22"/>
              </w:rPr>
              <w:t>mínimo para a economia do país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D97A02" w:rsidRPr="006321EF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 xml:space="preserve">No que se refere ao PARP, considera que </w:t>
            </w:r>
            <w:r>
              <w:rPr>
                <w:rFonts w:ascii="Calibri" w:hAnsi="Calibri" w:cs="Arial"/>
                <w:szCs w:val="22"/>
              </w:rPr>
              <w:t>este não define</w:t>
            </w:r>
            <w:r w:rsidRPr="006321EF">
              <w:rPr>
                <w:rFonts w:ascii="Calibri" w:hAnsi="Calibri" w:cs="Arial"/>
                <w:szCs w:val="22"/>
              </w:rPr>
              <w:t xml:space="preserve"> ações re</w:t>
            </w:r>
            <w:r>
              <w:rPr>
                <w:rFonts w:ascii="Calibri" w:hAnsi="Calibri" w:cs="Arial"/>
                <w:szCs w:val="22"/>
              </w:rPr>
              <w:t>ferentes</w:t>
            </w:r>
            <w:r w:rsidRPr="006321EF">
              <w:rPr>
                <w:rFonts w:ascii="Calibri" w:hAnsi="Calibri" w:cs="Arial"/>
                <w:szCs w:val="22"/>
              </w:rPr>
              <w:t xml:space="preserve"> aos aspetos geológicos dos fenómenos espeleológicos, nem aos aspetos do património geológico que eventualmente poderão surgir </w:t>
            </w:r>
            <w:r>
              <w:rPr>
                <w:rFonts w:ascii="Calibri" w:hAnsi="Calibri" w:cs="Arial"/>
                <w:szCs w:val="22"/>
              </w:rPr>
              <w:t>no decurso da</w:t>
            </w:r>
            <w:r w:rsidRPr="006321EF">
              <w:rPr>
                <w:rFonts w:ascii="Calibri" w:hAnsi="Calibri" w:cs="Arial"/>
                <w:szCs w:val="22"/>
              </w:rPr>
              <w:t xml:space="preserve"> exploração, sendo apenas referido aspetos relacionados com a arqueologia.</w:t>
            </w:r>
          </w:p>
          <w:p w:rsidR="00D97A02" w:rsidRPr="006321EF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Relativamente ao</w:t>
            </w:r>
            <w:r w:rsidRPr="006321EF">
              <w:rPr>
                <w:rFonts w:ascii="Calibri" w:hAnsi="Calibri" w:cs="Arial"/>
                <w:szCs w:val="22"/>
              </w:rPr>
              <w:t xml:space="preserve"> Resumo Não Técnico (RNT) </w:t>
            </w:r>
            <w:r>
              <w:rPr>
                <w:rFonts w:ascii="Calibri" w:hAnsi="Calibri" w:cs="Arial"/>
                <w:szCs w:val="22"/>
              </w:rPr>
              <w:t>salienta</w:t>
            </w:r>
            <w:r w:rsidRPr="006321EF">
              <w:rPr>
                <w:rFonts w:ascii="Calibri" w:hAnsi="Calibri" w:cs="Arial"/>
                <w:szCs w:val="22"/>
              </w:rPr>
              <w:t xml:space="preserve"> que este é omisso nos aspetos relacionados com o património geológico e prospeção espeleológica, para além de não considera</w:t>
            </w:r>
            <w:r>
              <w:rPr>
                <w:rFonts w:ascii="Calibri" w:hAnsi="Calibri" w:cs="Arial"/>
                <w:szCs w:val="22"/>
              </w:rPr>
              <w:t>r</w:t>
            </w:r>
            <w:r w:rsidRPr="006321EF">
              <w:rPr>
                <w:rFonts w:ascii="Calibri" w:hAnsi="Calibri" w:cs="Arial"/>
                <w:szCs w:val="22"/>
              </w:rPr>
              <w:t xml:space="preserve"> os impactes sobre a infiltração e consequente contribuição para modificações no funcionamento hidrológico do aquífero.</w:t>
            </w:r>
          </w:p>
          <w:p w:rsidR="00D97A02" w:rsidRPr="006321EF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Quanto à</w:t>
            </w:r>
            <w:r w:rsidRPr="006321EF">
              <w:rPr>
                <w:rFonts w:ascii="Calibri" w:hAnsi="Calibri" w:cs="Arial"/>
                <w:szCs w:val="22"/>
              </w:rPr>
              <w:t xml:space="preserve"> exploração subterrânea </w:t>
            </w:r>
            <w:r>
              <w:rPr>
                <w:rFonts w:ascii="Calibri" w:hAnsi="Calibri" w:cs="Arial"/>
                <w:szCs w:val="22"/>
              </w:rPr>
              <w:t xml:space="preserve">entende que esta </w:t>
            </w:r>
            <w:r w:rsidRPr="006321EF">
              <w:rPr>
                <w:rFonts w:ascii="Calibri" w:hAnsi="Calibri" w:cs="Arial"/>
                <w:szCs w:val="22"/>
              </w:rPr>
              <w:t>pode permitir o acesso a g</w:t>
            </w:r>
            <w:r>
              <w:rPr>
                <w:rFonts w:ascii="Calibri" w:hAnsi="Calibri" w:cs="Arial"/>
                <w:szCs w:val="22"/>
              </w:rPr>
              <w:t>rutas indetetáveis à superfície, p</w:t>
            </w:r>
            <w:r w:rsidR="00E67E02">
              <w:rPr>
                <w:rFonts w:ascii="Calibri" w:hAnsi="Calibri" w:cs="Arial"/>
                <w:szCs w:val="22"/>
              </w:rPr>
              <w:t>e</w:t>
            </w:r>
            <w:r>
              <w:rPr>
                <w:rFonts w:ascii="Calibri" w:hAnsi="Calibri" w:cs="Arial"/>
                <w:szCs w:val="22"/>
              </w:rPr>
              <w:t xml:space="preserve">lo que </w:t>
            </w:r>
            <w:r w:rsidRPr="006321EF">
              <w:rPr>
                <w:rFonts w:ascii="Calibri" w:hAnsi="Calibri" w:cs="Arial"/>
                <w:szCs w:val="22"/>
              </w:rPr>
              <w:t xml:space="preserve">o EIA deveria ter valorizado </w:t>
            </w:r>
            <w:r w:rsidRPr="006321EF">
              <w:rPr>
                <w:rFonts w:ascii="Calibri" w:hAnsi="Calibri" w:cs="Arial"/>
                <w:szCs w:val="22"/>
              </w:rPr>
              <w:lastRenderedPageBreak/>
              <w:t>adequadamente a p</w:t>
            </w:r>
            <w:r>
              <w:rPr>
                <w:rFonts w:ascii="Calibri" w:hAnsi="Calibri" w:cs="Arial"/>
                <w:szCs w:val="22"/>
              </w:rPr>
              <w:t xml:space="preserve">ossibilidade da sua descoberta </w:t>
            </w:r>
            <w:r w:rsidRPr="006321EF">
              <w:rPr>
                <w:rFonts w:ascii="Calibri" w:hAnsi="Calibri" w:cs="Arial"/>
                <w:szCs w:val="22"/>
              </w:rPr>
              <w:t xml:space="preserve">e a necessidade de acompanhamento permanente, e não apenas periódica, dos trabalhos de corte e desmonte por especialistas em </w:t>
            </w:r>
            <w:proofErr w:type="spellStart"/>
            <w:r>
              <w:rPr>
                <w:rFonts w:ascii="Calibri" w:hAnsi="Calibri" w:cs="Arial"/>
                <w:szCs w:val="22"/>
              </w:rPr>
              <w:t>geo</w:t>
            </w:r>
            <w:r w:rsidRPr="006321EF">
              <w:rPr>
                <w:rFonts w:ascii="Calibri" w:hAnsi="Calibri" w:cs="Arial"/>
                <w:szCs w:val="22"/>
              </w:rPr>
              <w:t>espeleologia</w:t>
            </w:r>
            <w:proofErr w:type="spellEnd"/>
            <w:r w:rsidRPr="006321EF">
              <w:rPr>
                <w:rFonts w:ascii="Calibri" w:hAnsi="Calibri" w:cs="Arial"/>
                <w:szCs w:val="22"/>
              </w:rPr>
              <w:t>, por forma a atempadamente detetar a sua existência, avaliar a sua importância e propor medidas de salvaguarda ou efetuar o seu estudo antes da sua obliteração.</w:t>
            </w:r>
          </w:p>
          <w:p w:rsidR="00D97A02" w:rsidRPr="006321EF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>Pelas razões acima mencionadas manifesta</w:t>
            </w:r>
            <w:r>
              <w:rPr>
                <w:rFonts w:ascii="Calibri" w:hAnsi="Calibri" w:cs="Arial"/>
                <w:szCs w:val="22"/>
              </w:rPr>
              <w:t>-</w:t>
            </w:r>
            <w:r w:rsidRPr="006321EF">
              <w:rPr>
                <w:rFonts w:ascii="Calibri" w:hAnsi="Calibri" w:cs="Arial"/>
                <w:szCs w:val="22"/>
              </w:rPr>
              <w:t>se contra o licenciamento da pedreira.</w:t>
            </w:r>
          </w:p>
          <w:p w:rsidR="00D97A02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974196">
              <w:rPr>
                <w:rFonts w:ascii="Calibri" w:hAnsi="Calibri" w:cs="Arial"/>
                <w:szCs w:val="22"/>
              </w:rPr>
              <w:t>A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6321EF">
              <w:rPr>
                <w:rFonts w:ascii="Calibri" w:hAnsi="Calibri" w:cs="Arial"/>
                <w:b/>
                <w:szCs w:val="22"/>
              </w:rPr>
              <w:t>Radio Maior FM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974196">
              <w:rPr>
                <w:rFonts w:ascii="Calibri" w:hAnsi="Calibri" w:cs="Arial"/>
                <w:szCs w:val="22"/>
              </w:rPr>
              <w:t>m</w:t>
            </w:r>
            <w:r>
              <w:rPr>
                <w:rFonts w:ascii="Calibri" w:hAnsi="Calibri" w:cs="Arial"/>
                <w:szCs w:val="22"/>
              </w:rPr>
              <w:t xml:space="preserve">anifesta a </w:t>
            </w:r>
            <w:r w:rsidRPr="006321EF">
              <w:rPr>
                <w:rFonts w:ascii="Calibri" w:hAnsi="Calibri" w:cs="Arial"/>
                <w:szCs w:val="22"/>
              </w:rPr>
              <w:t xml:space="preserve">sua preocupação para os impactes negativos que </w:t>
            </w:r>
            <w:r>
              <w:rPr>
                <w:rFonts w:ascii="Calibri" w:hAnsi="Calibri" w:cs="Arial"/>
                <w:szCs w:val="22"/>
              </w:rPr>
              <w:t>o projeto</w:t>
            </w:r>
            <w:r w:rsidRPr="006321EF">
              <w:rPr>
                <w:rFonts w:ascii="Calibri" w:hAnsi="Calibri" w:cs="Arial"/>
                <w:szCs w:val="22"/>
              </w:rPr>
              <w:t xml:space="preserve"> irá provocar nas atividades da radiodifusão e comunicação social</w:t>
            </w:r>
            <w:r>
              <w:rPr>
                <w:rFonts w:ascii="Calibri" w:hAnsi="Calibri" w:cs="Arial"/>
                <w:szCs w:val="22"/>
              </w:rPr>
              <w:t xml:space="preserve"> em virtude de </w:t>
            </w:r>
            <w:r w:rsidRPr="006321EF">
              <w:rPr>
                <w:rFonts w:ascii="Calibri" w:hAnsi="Calibri" w:cs="Arial"/>
                <w:szCs w:val="22"/>
              </w:rPr>
              <w:t xml:space="preserve">os centros emissores e as antenas da Rádio Maior/Rádio Sim e da Rádio </w:t>
            </w:r>
            <w:proofErr w:type="spellStart"/>
            <w:r w:rsidRPr="006321EF">
              <w:rPr>
                <w:rFonts w:ascii="Calibri" w:hAnsi="Calibri" w:cs="Arial"/>
                <w:szCs w:val="22"/>
              </w:rPr>
              <w:t>Hiper</w:t>
            </w:r>
            <w:proofErr w:type="spellEnd"/>
            <w:r w:rsidRPr="006321EF">
              <w:rPr>
                <w:rFonts w:ascii="Calibri" w:hAnsi="Calibri" w:cs="Arial"/>
                <w:szCs w:val="22"/>
              </w:rPr>
              <w:t xml:space="preserve"> FM </w:t>
            </w:r>
            <w:r>
              <w:rPr>
                <w:rFonts w:ascii="Calibri" w:hAnsi="Calibri" w:cs="Arial"/>
                <w:szCs w:val="22"/>
              </w:rPr>
              <w:t>se localizarem</w:t>
            </w:r>
            <w:r w:rsidRPr="006321EF">
              <w:rPr>
                <w:rFonts w:ascii="Calibri" w:hAnsi="Calibri" w:cs="Arial"/>
                <w:szCs w:val="22"/>
              </w:rPr>
              <w:t xml:space="preserve"> a poucos centenas de metros da Pedreira Vale das Loureiras e Portela das Salgueiras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D97A02" w:rsidRDefault="00D97A02" w:rsidP="00D97A02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Re</w:t>
            </w:r>
            <w:r w:rsidRPr="006321EF">
              <w:rPr>
                <w:rFonts w:ascii="Calibri" w:hAnsi="Calibri" w:cs="Arial"/>
                <w:szCs w:val="22"/>
              </w:rPr>
              <w:t>fere</w:t>
            </w:r>
            <w:r>
              <w:rPr>
                <w:rFonts w:ascii="Calibri" w:hAnsi="Calibri" w:cs="Arial"/>
                <w:szCs w:val="22"/>
              </w:rPr>
              <w:t xml:space="preserve"> ainda</w:t>
            </w:r>
            <w:r w:rsidRPr="006321EF">
              <w:rPr>
                <w:rFonts w:ascii="Calibri" w:hAnsi="Calibri" w:cs="Arial"/>
                <w:szCs w:val="22"/>
              </w:rPr>
              <w:t xml:space="preserve"> que se debatem </w:t>
            </w:r>
            <w:proofErr w:type="gramStart"/>
            <w:r w:rsidRPr="006321EF">
              <w:rPr>
                <w:rFonts w:ascii="Calibri" w:hAnsi="Calibri" w:cs="Arial"/>
                <w:szCs w:val="22"/>
              </w:rPr>
              <w:t>à</w:t>
            </w:r>
            <w:proofErr w:type="gramEnd"/>
            <w:r w:rsidRPr="006321EF">
              <w:rPr>
                <w:rFonts w:ascii="Calibri" w:hAnsi="Calibri" w:cs="Arial"/>
                <w:szCs w:val="22"/>
              </w:rPr>
              <w:t xml:space="preserve"> vários anos com dificuldades técnicas provocadas por outras pedreiras de grandes dimensões existentes no local, nomeadamente “</w:t>
            </w:r>
            <w:r>
              <w:rPr>
                <w:rFonts w:ascii="Calibri" w:hAnsi="Calibri" w:cs="Arial"/>
                <w:szCs w:val="22"/>
              </w:rPr>
              <w:t>C</w:t>
            </w:r>
            <w:r w:rsidRPr="006321EF">
              <w:rPr>
                <w:rFonts w:ascii="Calibri" w:hAnsi="Calibri" w:cs="Arial"/>
                <w:szCs w:val="22"/>
              </w:rPr>
              <w:t xml:space="preserve">abeça Gorda”, “Cabeça Chã”, Vale Texugo”, Chousa do Henrique” e </w:t>
            </w:r>
            <w:r w:rsidR="00E67E02">
              <w:rPr>
                <w:rFonts w:ascii="Calibri" w:hAnsi="Calibri" w:cs="Arial"/>
                <w:szCs w:val="22"/>
              </w:rPr>
              <w:t>“</w:t>
            </w:r>
            <w:r w:rsidRPr="006321EF">
              <w:rPr>
                <w:rFonts w:ascii="Calibri" w:hAnsi="Calibri" w:cs="Arial"/>
                <w:szCs w:val="22"/>
              </w:rPr>
              <w:t>Vale</w:t>
            </w:r>
            <w:r>
              <w:rPr>
                <w:rFonts w:ascii="Calibri" w:hAnsi="Calibri" w:cs="Arial"/>
                <w:szCs w:val="22"/>
              </w:rPr>
              <w:t xml:space="preserve"> Rodrigues 2”.</w:t>
            </w:r>
          </w:p>
          <w:p w:rsidR="00791FB2" w:rsidRPr="006C5FC5" w:rsidRDefault="00791FB2" w:rsidP="00791FB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3B4E34" w:rsidRPr="003E087A" w:rsidRDefault="003B4E34" w:rsidP="003E087A">
      <w:pPr>
        <w:spacing w:before="0"/>
        <w:jc w:val="center"/>
        <w:rPr>
          <w:sz w:val="18"/>
          <w:szCs w:val="18"/>
          <w:highlight w:val="yellow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3B4E34" w:rsidRPr="000D36F0" w:rsidTr="0047527D">
        <w:trPr>
          <w:trHeight w:val="4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B4E34" w:rsidRPr="008C19DC" w:rsidRDefault="003B4E34" w:rsidP="004953C5">
            <w:pPr>
              <w:spacing w:before="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8C19DC">
              <w:rPr>
                <w:rFonts w:cs="Arial"/>
                <w:b/>
                <w:sz w:val="18"/>
                <w:szCs w:val="18"/>
              </w:rPr>
              <w:t>Razões de facto e de direito que justificam a decisão: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 xml:space="preserve"> Com o presente projeto pretende-se obter o licenciamento </w:t>
            </w:r>
            <w:r w:rsidR="00E67E02">
              <w:rPr>
                <w:rFonts w:ascii="Calibri" w:hAnsi="Calibri" w:cs="Arial"/>
                <w:szCs w:val="22"/>
              </w:rPr>
              <w:t>de</w:t>
            </w:r>
            <w:r w:rsidRPr="006321EF">
              <w:rPr>
                <w:rFonts w:ascii="Calibri" w:hAnsi="Calibri" w:cs="Arial"/>
                <w:szCs w:val="22"/>
              </w:rPr>
              <w:t xml:space="preserve"> uma unidade extrativa de calcário ornamental, localizada no territóri</w:t>
            </w:r>
            <w:r w:rsidR="00E67E02">
              <w:rPr>
                <w:rFonts w:ascii="Calibri" w:hAnsi="Calibri" w:cs="Arial"/>
                <w:szCs w:val="22"/>
              </w:rPr>
              <w:t xml:space="preserve">o da freguesia de Alcobertas, </w:t>
            </w:r>
            <w:r w:rsidRPr="006321EF">
              <w:rPr>
                <w:rFonts w:ascii="Calibri" w:hAnsi="Calibri" w:cs="Arial"/>
                <w:szCs w:val="22"/>
              </w:rPr>
              <w:t>concelho de Rio Maior, em área do Parque Natural da</w:t>
            </w:r>
            <w:r w:rsidR="00E67E02">
              <w:rPr>
                <w:rFonts w:ascii="Calibri" w:hAnsi="Calibri" w:cs="Arial"/>
                <w:szCs w:val="22"/>
              </w:rPr>
              <w:t xml:space="preserve">s Serras de Aire e Candeeiros, </w:t>
            </w:r>
            <w:r w:rsidRPr="006321EF">
              <w:rPr>
                <w:rFonts w:ascii="Calibri" w:hAnsi="Calibri" w:cs="Arial"/>
                <w:szCs w:val="22"/>
              </w:rPr>
              <w:t>integrando o Sítio Rede Natura 2000 Serras de Aire e Candeeiros.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>A concretização do presente projeto irá assegurar a sustentabilidade da empresa, uma vez que é comercializado a nível nacional e internacional.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 xml:space="preserve">As povoações mais próximas da área de exploração são Casais do Vale de Ventos, a cerca de 900 m para sudoeste, e Casais </w:t>
            </w:r>
            <w:proofErr w:type="spellStart"/>
            <w:r w:rsidRPr="006321EF">
              <w:rPr>
                <w:rFonts w:ascii="Calibri" w:hAnsi="Calibri" w:cs="Arial"/>
                <w:szCs w:val="22"/>
              </w:rPr>
              <w:t>Monizes</w:t>
            </w:r>
            <w:proofErr w:type="spellEnd"/>
            <w:r w:rsidRPr="006321EF">
              <w:rPr>
                <w:rFonts w:ascii="Calibri" w:hAnsi="Calibri" w:cs="Arial"/>
                <w:szCs w:val="22"/>
              </w:rPr>
              <w:t xml:space="preserve"> a cerca de 1200 m da área em estudo.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A área total da pedreira é de 178 133 m</w:t>
            </w:r>
            <w:r w:rsidRPr="00E67E02">
              <w:rPr>
                <w:rFonts w:ascii="Calibri" w:hAnsi="Calibri"/>
                <w:szCs w:val="22"/>
                <w:vertAlign w:val="superscript"/>
              </w:rPr>
              <w:t>2</w:t>
            </w:r>
            <w:r w:rsidRPr="006321EF">
              <w:rPr>
                <w:rFonts w:ascii="Calibri" w:hAnsi="Calibri"/>
                <w:szCs w:val="22"/>
              </w:rPr>
              <w:t>, sendo que a área de exploração é de 161 075 m2, dos quais 31 076m</w:t>
            </w:r>
            <w:r w:rsidRPr="00E67E02">
              <w:rPr>
                <w:rFonts w:ascii="Calibri" w:hAnsi="Calibri"/>
                <w:szCs w:val="22"/>
                <w:vertAlign w:val="superscript"/>
              </w:rPr>
              <w:t>2</w:t>
            </w:r>
            <w:r w:rsidRPr="006321EF">
              <w:rPr>
                <w:rFonts w:ascii="Calibri" w:hAnsi="Calibri"/>
                <w:szCs w:val="22"/>
              </w:rPr>
              <w:t xml:space="preserve"> serão explorados a céu aberto, e a </w:t>
            </w:r>
            <w:r w:rsidRPr="006321EF">
              <w:rPr>
                <w:rFonts w:ascii="Calibri" w:hAnsi="Calibri"/>
                <w:szCs w:val="22"/>
              </w:rPr>
              <w:lastRenderedPageBreak/>
              <w:t>restante área (129 998 m</w:t>
            </w:r>
            <w:r w:rsidRPr="00E67E02">
              <w:rPr>
                <w:rFonts w:ascii="Calibri" w:hAnsi="Calibri"/>
                <w:szCs w:val="22"/>
                <w:vertAlign w:val="superscript"/>
              </w:rPr>
              <w:t>2</w:t>
            </w:r>
            <w:r w:rsidRPr="006321EF">
              <w:rPr>
                <w:rFonts w:ascii="Calibri" w:hAnsi="Calibri"/>
                <w:szCs w:val="22"/>
              </w:rPr>
              <w:t>) será explorada em subterrâneo.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Na envolvente próxima existem três frentes de pedreiras antigas, exploradas no passado, sendo que a área localizada no extremo norte da área do projeto foi objeto de exploração de pedra de calçada.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O acesso à pedreira é efetuado através da EM 556 que liga Rio Maior a Alcobertas, ou, em alternativa, através da EN1- IC2.</w:t>
            </w:r>
          </w:p>
          <w:p w:rsidR="00701E00" w:rsidRDefault="00EF2FF7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Quanto à</w:t>
            </w:r>
            <w:r w:rsidR="00701E00" w:rsidRPr="006321EF">
              <w:rPr>
                <w:rFonts w:ascii="Calibri" w:hAnsi="Calibri"/>
                <w:szCs w:val="22"/>
              </w:rPr>
              <w:t xml:space="preserve"> paisagem considera-se que os impactes identificados são pouco significativos, e, na sua quase totalidade, temporários, dada a obrigatoriedade legal da implementação do PARP que minimizará os impactes gerados na paisagem</w:t>
            </w:r>
          </w:p>
          <w:p w:rsidR="00701E00" w:rsidRPr="00F41DF8" w:rsidRDefault="00701E00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AE4539">
              <w:rPr>
                <w:rFonts w:ascii="Calibri" w:hAnsi="Calibri" w:cs="Arial"/>
                <w:szCs w:val="22"/>
              </w:rPr>
              <w:t xml:space="preserve">No entanto, </w:t>
            </w:r>
            <w:r w:rsidR="00EF2FF7">
              <w:rPr>
                <w:rFonts w:ascii="Calibri" w:hAnsi="Calibri" w:cs="Arial"/>
                <w:szCs w:val="22"/>
              </w:rPr>
              <w:t>tendo em conta que</w:t>
            </w:r>
            <w:r w:rsidRPr="00AE4539">
              <w:rPr>
                <w:rFonts w:ascii="Calibri" w:hAnsi="Calibri" w:cs="Arial"/>
                <w:szCs w:val="22"/>
              </w:rPr>
              <w:t xml:space="preserve"> a exploração</w:t>
            </w:r>
            <w:r w:rsidR="00EF2FF7">
              <w:rPr>
                <w:rFonts w:ascii="Calibri" w:hAnsi="Calibri" w:cs="Arial"/>
                <w:szCs w:val="22"/>
              </w:rPr>
              <w:t xml:space="preserve"> é</w:t>
            </w:r>
            <w:r w:rsidRPr="00AE4539">
              <w:rPr>
                <w:rFonts w:ascii="Calibri" w:hAnsi="Calibri" w:cs="Arial"/>
                <w:szCs w:val="22"/>
              </w:rPr>
              <w:t xml:space="preserve"> faseada e</w:t>
            </w:r>
            <w:r>
              <w:rPr>
                <w:rFonts w:ascii="Calibri" w:hAnsi="Calibri" w:cs="Arial"/>
                <w:szCs w:val="22"/>
              </w:rPr>
              <w:t xml:space="preserve"> que </w:t>
            </w:r>
            <w:r w:rsidRPr="00AE4539">
              <w:rPr>
                <w:rFonts w:ascii="Calibri" w:hAnsi="Calibri" w:cs="Arial"/>
                <w:szCs w:val="22"/>
              </w:rPr>
              <w:t>a recuperação paisagística</w:t>
            </w:r>
            <w:r w:rsidR="00EF2FF7">
              <w:rPr>
                <w:rFonts w:ascii="Calibri" w:hAnsi="Calibri" w:cs="Arial"/>
                <w:szCs w:val="22"/>
              </w:rPr>
              <w:t xml:space="preserve"> se</w:t>
            </w:r>
            <w:r w:rsidRPr="00AE4539">
              <w:rPr>
                <w:rFonts w:ascii="Calibri" w:hAnsi="Calibri" w:cs="Arial"/>
                <w:szCs w:val="22"/>
              </w:rPr>
              <w:t xml:space="preserve"> inicia logo que se encontrem finalizadas as atividades de escavação em cada zona, considera-se que os impactes expectáveis serão atenuados.</w:t>
            </w:r>
          </w:p>
          <w:p w:rsidR="00701E00" w:rsidRDefault="00701E00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4D71C5">
              <w:rPr>
                <w:rFonts w:ascii="Calibri" w:hAnsi="Calibri" w:cs="Arial"/>
                <w:szCs w:val="22"/>
              </w:rPr>
              <w:t xml:space="preserve">Já </w:t>
            </w:r>
            <w:r w:rsidR="004D71C5" w:rsidRPr="004D71C5">
              <w:rPr>
                <w:rFonts w:ascii="Calibri" w:hAnsi="Calibri" w:cs="Arial"/>
                <w:szCs w:val="22"/>
              </w:rPr>
              <w:t>no que se refere à</w:t>
            </w:r>
            <w:r w:rsidR="004B17E1" w:rsidRPr="004D71C5">
              <w:rPr>
                <w:rFonts w:ascii="Calibri" w:hAnsi="Calibri" w:cs="Arial"/>
                <w:szCs w:val="22"/>
              </w:rPr>
              <w:t xml:space="preserve"> </w:t>
            </w:r>
            <w:r w:rsidRPr="004D71C5">
              <w:rPr>
                <w:rFonts w:ascii="Calibri" w:hAnsi="Calibri" w:cs="Arial"/>
                <w:szCs w:val="22"/>
              </w:rPr>
              <w:t>fase</w:t>
            </w:r>
            <w:r>
              <w:rPr>
                <w:rFonts w:ascii="Calibri" w:hAnsi="Calibri" w:cs="Arial"/>
                <w:szCs w:val="22"/>
              </w:rPr>
              <w:t xml:space="preserve"> de</w:t>
            </w:r>
            <w:r w:rsidRPr="00F41DF8">
              <w:rPr>
                <w:rFonts w:ascii="Calibri" w:hAnsi="Calibri" w:cs="Arial"/>
                <w:szCs w:val="22"/>
              </w:rPr>
              <w:t xml:space="preserve"> desativação</w:t>
            </w:r>
            <w:r>
              <w:rPr>
                <w:rFonts w:ascii="Calibri" w:hAnsi="Calibri" w:cs="Arial"/>
                <w:szCs w:val="22"/>
              </w:rPr>
              <w:t xml:space="preserve"> considera-se que </w:t>
            </w:r>
            <w:r w:rsidRPr="00F41DF8">
              <w:rPr>
                <w:rFonts w:ascii="Calibri" w:hAnsi="Calibri" w:cs="Arial"/>
                <w:szCs w:val="22"/>
              </w:rPr>
              <w:t>a recuperação das áreas exploradas gerará impactes positivos</w:t>
            </w:r>
            <w:r>
              <w:rPr>
                <w:rFonts w:ascii="Calibri" w:hAnsi="Calibri" w:cs="Arial"/>
                <w:szCs w:val="22"/>
              </w:rPr>
              <w:t xml:space="preserve"> pois serão</w:t>
            </w:r>
            <w:r w:rsidRPr="00F41DF8">
              <w:rPr>
                <w:rFonts w:ascii="Calibri" w:hAnsi="Calibri" w:cs="Arial"/>
                <w:szCs w:val="22"/>
              </w:rPr>
              <w:t xml:space="preserve"> restabelec</w:t>
            </w:r>
            <w:r>
              <w:rPr>
                <w:rFonts w:ascii="Calibri" w:hAnsi="Calibri" w:cs="Arial"/>
                <w:szCs w:val="22"/>
              </w:rPr>
              <w:t>idas as condições necessárias</w:t>
            </w:r>
            <w:r w:rsidRPr="00F41DF8">
              <w:rPr>
                <w:rFonts w:ascii="Calibri" w:hAnsi="Calibri" w:cs="Arial"/>
                <w:szCs w:val="22"/>
              </w:rPr>
              <w:t xml:space="preserve"> para a plantação e crescimento da vegetação bem como o restabelecimento de</w:t>
            </w:r>
            <w:r>
              <w:rPr>
                <w:rFonts w:ascii="Calibri" w:hAnsi="Calibri" w:cs="Arial"/>
                <w:szCs w:val="22"/>
              </w:rPr>
              <w:t xml:space="preserve"> drenagem e infiltração da água, o que </w:t>
            </w:r>
            <w:r w:rsidRPr="00F41DF8">
              <w:rPr>
                <w:rFonts w:ascii="Calibri" w:hAnsi="Calibri" w:cs="Arial"/>
                <w:szCs w:val="22"/>
              </w:rPr>
              <w:t>contribuir</w:t>
            </w:r>
            <w:r>
              <w:rPr>
                <w:rFonts w:ascii="Calibri" w:hAnsi="Calibri" w:cs="Arial"/>
                <w:szCs w:val="22"/>
              </w:rPr>
              <w:t>á</w:t>
            </w:r>
            <w:r w:rsidRPr="00F41DF8">
              <w:rPr>
                <w:rFonts w:ascii="Calibri" w:hAnsi="Calibri" w:cs="Arial"/>
                <w:szCs w:val="22"/>
              </w:rPr>
              <w:t xml:space="preserve"> para a existência de condições favoráveis à génese do solo.</w:t>
            </w:r>
          </w:p>
          <w:p w:rsidR="00614630" w:rsidRPr="00F41DF8" w:rsidRDefault="00614630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14630">
              <w:rPr>
                <w:rFonts w:ascii="Calibri" w:hAnsi="Calibri" w:cs="Arial"/>
                <w:szCs w:val="22"/>
              </w:rPr>
              <w:t>A análise global aos fatores ambientais analisados permitem considerar, como adiante explicitado, que de um modo geral, os impactes</w:t>
            </w:r>
            <w:r w:rsidR="004D71C5">
              <w:rPr>
                <w:rFonts w:ascii="Calibri" w:hAnsi="Calibri" w:cs="Arial"/>
                <w:szCs w:val="22"/>
              </w:rPr>
              <w:t xml:space="preserve"> negativos por </w:t>
            </w:r>
            <w:r w:rsidR="004D71C5" w:rsidRPr="004D71C5">
              <w:rPr>
                <w:rFonts w:ascii="Calibri" w:hAnsi="Calibri" w:cs="Arial"/>
                <w:szCs w:val="22"/>
              </w:rPr>
              <w:t>serem minimizáveis</w:t>
            </w:r>
            <w:r w:rsidRPr="004D71C5">
              <w:rPr>
                <w:rFonts w:ascii="Calibri" w:hAnsi="Calibri" w:cs="Arial"/>
                <w:szCs w:val="22"/>
              </w:rPr>
              <w:t xml:space="preserve"> se classificam</w:t>
            </w:r>
            <w:r w:rsidRPr="00614630">
              <w:rPr>
                <w:rFonts w:ascii="Calibri" w:hAnsi="Calibri" w:cs="Arial"/>
                <w:szCs w:val="22"/>
              </w:rPr>
              <w:t xml:space="preserve"> como pouco significativos.</w:t>
            </w:r>
          </w:p>
          <w:p w:rsidR="00701E00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Sobre o Património Arqueológico e Arquitetónico, apesar de na área do projeto não existirem vestígios arqueológicos, considera-se que na fase de exploração, não se deve excluir a possibilidade de ocorrência de impactes sobre</w:t>
            </w:r>
            <w:r>
              <w:rPr>
                <w:rFonts w:ascii="Calibri" w:hAnsi="Calibri"/>
                <w:szCs w:val="22"/>
              </w:rPr>
              <w:t xml:space="preserve"> eventuais </w:t>
            </w:r>
            <w:r w:rsidRPr="006321EF">
              <w:rPr>
                <w:rFonts w:ascii="Calibri" w:hAnsi="Calibri"/>
                <w:szCs w:val="22"/>
              </w:rPr>
              <w:t>vestígios arqueológicos</w:t>
            </w:r>
            <w:r>
              <w:rPr>
                <w:rFonts w:ascii="Calibri" w:hAnsi="Calibri"/>
                <w:szCs w:val="22"/>
              </w:rPr>
              <w:t xml:space="preserve">, situação que se encontra acautelada </w:t>
            </w:r>
            <w:r w:rsidR="00E90EA7">
              <w:rPr>
                <w:rFonts w:ascii="Calibri" w:hAnsi="Calibri"/>
                <w:szCs w:val="22"/>
              </w:rPr>
              <w:t>através do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Cs w:val="22"/>
              </w:rPr>
              <w:t>acompanhamento  arqueológico.</w:t>
            </w:r>
            <w:proofErr w:type="gramEnd"/>
          </w:p>
          <w:p w:rsidR="00701E00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Em termos da Qualidade do Ar, prevê-se um acréscimo na concentração de partículas, relacionado principalmente com a erosão do vento em área</w:t>
            </w:r>
            <w:r w:rsidR="00EF2FF7">
              <w:rPr>
                <w:rFonts w:ascii="Calibri" w:hAnsi="Calibri"/>
                <w:szCs w:val="22"/>
              </w:rPr>
              <w:t>s</w:t>
            </w:r>
            <w:r w:rsidRPr="006321EF">
              <w:rPr>
                <w:rFonts w:ascii="Calibri" w:hAnsi="Calibri"/>
                <w:szCs w:val="22"/>
              </w:rPr>
              <w:t xml:space="preserve"> desmatadas e, também, com a circulação de veículos em vias não </w:t>
            </w:r>
            <w:r w:rsidRPr="006321EF">
              <w:rPr>
                <w:rFonts w:ascii="Calibri" w:hAnsi="Calibri"/>
                <w:szCs w:val="22"/>
              </w:rPr>
              <w:lastRenderedPageBreak/>
              <w:t>pavimentadas,</w:t>
            </w:r>
            <w:r>
              <w:rPr>
                <w:rFonts w:ascii="Calibri" w:hAnsi="Calibri"/>
                <w:szCs w:val="22"/>
              </w:rPr>
              <w:t xml:space="preserve"> podendo eventualmente ser </w:t>
            </w:r>
            <w:r w:rsidRPr="006321EF">
              <w:rPr>
                <w:rFonts w:ascii="Calibri" w:hAnsi="Calibri"/>
                <w:szCs w:val="22"/>
              </w:rPr>
              <w:t>ultrapassado o limiar superior de a</w:t>
            </w:r>
            <w:r>
              <w:rPr>
                <w:rFonts w:ascii="Calibri" w:hAnsi="Calibri"/>
                <w:szCs w:val="22"/>
              </w:rPr>
              <w:t xml:space="preserve">valiação do valor limite diário, sendo, no entanto, este impacte </w:t>
            </w:r>
            <w:r w:rsidR="004D0E33" w:rsidRPr="004D71C5">
              <w:rPr>
                <w:rFonts w:ascii="Calibri" w:hAnsi="Calibri"/>
                <w:szCs w:val="22"/>
              </w:rPr>
              <w:t>minimizável através da adoção de medidas adequadas antes referidas</w:t>
            </w:r>
            <w:r w:rsidRPr="004D71C5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 xml:space="preserve"> A fase de </w:t>
            </w:r>
            <w:r w:rsidRPr="006321EF">
              <w:rPr>
                <w:rFonts w:ascii="Calibri" w:hAnsi="Calibri"/>
                <w:szCs w:val="22"/>
              </w:rPr>
              <w:t>exploração</w:t>
            </w:r>
            <w:r>
              <w:rPr>
                <w:rFonts w:ascii="Calibri" w:hAnsi="Calibri"/>
                <w:szCs w:val="22"/>
              </w:rPr>
              <w:t xml:space="preserve"> terá acompanhamento através de um plano de monitorização.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Do ponto de vista socioeconómico os impactes gerados pelo projeto estão associados ao tráfego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Pr="006321EF">
              <w:rPr>
                <w:rFonts w:ascii="Calibri" w:hAnsi="Calibri"/>
                <w:szCs w:val="22"/>
              </w:rPr>
              <w:t>impactes negativos, pouco significat</w:t>
            </w:r>
            <w:r>
              <w:rPr>
                <w:rFonts w:ascii="Calibri" w:hAnsi="Calibri"/>
                <w:szCs w:val="22"/>
              </w:rPr>
              <w:t>iv</w:t>
            </w:r>
            <w:r w:rsidRPr="006321EF">
              <w:rPr>
                <w:rFonts w:ascii="Calibri" w:hAnsi="Calibri"/>
                <w:szCs w:val="22"/>
              </w:rPr>
              <w:t>os</w:t>
            </w:r>
            <w:r>
              <w:rPr>
                <w:rFonts w:ascii="Calibri" w:hAnsi="Calibri"/>
                <w:szCs w:val="22"/>
              </w:rPr>
              <w:t xml:space="preserve">), </w:t>
            </w:r>
            <w:r w:rsidRPr="006321EF">
              <w:rPr>
                <w:rFonts w:ascii="Calibri" w:hAnsi="Calibri"/>
                <w:szCs w:val="22"/>
              </w:rPr>
              <w:t>aos postos de trabalho face à tipologia da exploração e ao contexto local, cujo setor de atividade é representativo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Pr="006321EF">
              <w:rPr>
                <w:rFonts w:ascii="Calibri" w:hAnsi="Calibri"/>
                <w:szCs w:val="22"/>
              </w:rPr>
              <w:t>impactes positivos</w:t>
            </w:r>
            <w:r>
              <w:rPr>
                <w:rFonts w:ascii="Calibri" w:hAnsi="Calibri"/>
                <w:szCs w:val="22"/>
              </w:rPr>
              <w:t>)</w:t>
            </w:r>
            <w:r w:rsidRPr="006321EF">
              <w:rPr>
                <w:rFonts w:ascii="Calibri" w:hAnsi="Calibri"/>
                <w:szCs w:val="22"/>
              </w:rPr>
              <w:t xml:space="preserve">, e ao aumento e reforço de desempenho por parte da empresa, apoiando-se </w:t>
            </w:r>
            <w:r w:rsidR="00E90EA7" w:rsidRPr="006321EF">
              <w:rPr>
                <w:rFonts w:ascii="Calibri" w:hAnsi="Calibri"/>
                <w:szCs w:val="22"/>
              </w:rPr>
              <w:t>nas pedreiras</w:t>
            </w:r>
            <w:r w:rsidRPr="006321EF">
              <w:rPr>
                <w:rFonts w:ascii="Calibri" w:hAnsi="Calibri"/>
                <w:szCs w:val="22"/>
              </w:rPr>
              <w:t xml:space="preserve"> que já possui e nas oportunidades de mercado existentes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Pr="006321EF">
              <w:rPr>
                <w:rFonts w:ascii="Calibri" w:hAnsi="Calibri"/>
                <w:szCs w:val="22"/>
              </w:rPr>
              <w:t>impactes positivos</w:t>
            </w:r>
            <w:r>
              <w:rPr>
                <w:rFonts w:ascii="Calibri" w:hAnsi="Calibri"/>
                <w:szCs w:val="22"/>
              </w:rPr>
              <w:t>)</w:t>
            </w:r>
            <w:r w:rsidRPr="006321EF">
              <w:rPr>
                <w:rFonts w:ascii="Calibri" w:hAnsi="Calibri"/>
                <w:szCs w:val="22"/>
              </w:rPr>
              <w:t>.</w:t>
            </w:r>
          </w:p>
          <w:p w:rsidR="00701E00" w:rsidRDefault="00AD4611" w:rsidP="00701E00">
            <w:pPr>
              <w:pStyle w:val="Corpodetexto"/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4D71C5">
              <w:rPr>
                <w:rFonts w:ascii="Calibri" w:hAnsi="Calibri"/>
                <w:sz w:val="22"/>
                <w:szCs w:val="22"/>
              </w:rPr>
              <w:t>âmbito dos r</w:t>
            </w:r>
            <w:r w:rsidR="00701E00" w:rsidRPr="004D71C5">
              <w:rPr>
                <w:rFonts w:ascii="Calibri" w:hAnsi="Calibri"/>
                <w:sz w:val="22"/>
                <w:szCs w:val="22"/>
              </w:rPr>
              <w:t xml:space="preserve">ecursos </w:t>
            </w:r>
            <w:r w:rsidRPr="004D71C5">
              <w:rPr>
                <w:rFonts w:ascii="Calibri" w:hAnsi="Calibri"/>
                <w:sz w:val="22"/>
                <w:szCs w:val="22"/>
              </w:rPr>
              <w:t>h</w:t>
            </w:r>
            <w:r w:rsidR="00701E00" w:rsidRPr="004D71C5">
              <w:rPr>
                <w:rFonts w:ascii="Calibri" w:hAnsi="Calibri"/>
                <w:sz w:val="22"/>
                <w:szCs w:val="22"/>
              </w:rPr>
              <w:t>ídricos</w:t>
            </w:r>
            <w:r w:rsidR="00701E00" w:rsidRPr="006321EF">
              <w:rPr>
                <w:rFonts w:ascii="Calibri" w:hAnsi="Calibri"/>
                <w:sz w:val="22"/>
                <w:szCs w:val="22"/>
              </w:rPr>
              <w:t xml:space="preserve"> superficiais, os impactes gerados são negativos, mas pouco significativos e resultam da alteração do padrão do escoamento superficial, pela compactação do solo e alteração da topografia, e do coberto vegetal</w:t>
            </w:r>
            <w:r w:rsidR="00701E00">
              <w:rPr>
                <w:rFonts w:ascii="Calibri" w:hAnsi="Calibri"/>
                <w:sz w:val="22"/>
                <w:szCs w:val="22"/>
              </w:rPr>
              <w:t>.</w:t>
            </w:r>
          </w:p>
          <w:p w:rsidR="00EF2FF7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Pr="006321EF">
              <w:rPr>
                <w:rFonts w:ascii="Calibri" w:hAnsi="Calibri"/>
                <w:szCs w:val="22"/>
              </w:rPr>
              <w:t>elativamente aos recursos hídricos subterrâneos</w:t>
            </w:r>
            <w:proofErr w:type="gramStart"/>
            <w:r w:rsidRPr="006321EF">
              <w:rPr>
                <w:rFonts w:ascii="Calibri" w:hAnsi="Calibri"/>
                <w:szCs w:val="22"/>
              </w:rPr>
              <w:t>,</w:t>
            </w:r>
            <w:proofErr w:type="gramEnd"/>
            <w:r w:rsidRPr="006321EF">
              <w:rPr>
                <w:rFonts w:ascii="Calibri" w:hAnsi="Calibri"/>
                <w:szCs w:val="22"/>
              </w:rPr>
              <w:t xml:space="preserve"> considera-se que o desmont</w:t>
            </w:r>
            <w:r w:rsidR="00EF2FF7">
              <w:rPr>
                <w:rFonts w:ascii="Calibri" w:hAnsi="Calibri"/>
                <w:szCs w:val="22"/>
              </w:rPr>
              <w:t xml:space="preserve">e induzirá impactes negativos, muito </w:t>
            </w:r>
            <w:r w:rsidRPr="006321EF">
              <w:rPr>
                <w:rFonts w:ascii="Calibri" w:hAnsi="Calibri"/>
                <w:szCs w:val="22"/>
              </w:rPr>
              <w:t>significativos</w:t>
            </w:r>
            <w:r w:rsidR="00EF2FF7">
              <w:rPr>
                <w:rFonts w:ascii="Calibri" w:hAnsi="Calibri"/>
                <w:szCs w:val="22"/>
              </w:rPr>
              <w:t xml:space="preserve">, no entanto minimizáveis. </w:t>
            </w:r>
          </w:p>
          <w:p w:rsidR="00EF2FF7" w:rsidRDefault="00701E00" w:rsidP="00701E00">
            <w:pPr>
              <w:spacing w:before="120" w:after="120" w:line="360" w:lineRule="auto"/>
              <w:rPr>
                <w:rFonts w:ascii="Calibri" w:hAnsi="Calibri"/>
                <w:color w:val="000000"/>
                <w:szCs w:val="22"/>
              </w:rPr>
            </w:pPr>
            <w:r w:rsidRPr="001C47B8">
              <w:rPr>
                <w:rFonts w:ascii="Calibri" w:hAnsi="Calibri"/>
                <w:color w:val="000000"/>
                <w:szCs w:val="22"/>
              </w:rPr>
              <w:t xml:space="preserve">No que se refere à qualidade das águas subterrâneas, os possíveis impactes são sobretudo devido a derrames acidentais de óleos e afins, pela maquinaria utilizada, bem como de efluentes domésticos (provenientes das áreas sociais da pedreira) e incorreta gestão de resíduos. </w:t>
            </w:r>
          </w:p>
          <w:p w:rsidR="00701E00" w:rsidRPr="00EF2FF7" w:rsidRDefault="00701E00" w:rsidP="00EF2FF7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1C47B8">
              <w:rPr>
                <w:rFonts w:ascii="Calibri" w:hAnsi="Calibri" w:cs="Calibri"/>
                <w:szCs w:val="22"/>
              </w:rPr>
              <w:t xml:space="preserve">O impacte ao nível da qualidade das águas do aquífero será </w:t>
            </w:r>
            <w:r w:rsidRPr="001C47B8">
              <w:rPr>
                <w:rFonts w:ascii="Calibri" w:hAnsi="Calibri" w:cs="Calibri"/>
                <w:bCs/>
                <w:szCs w:val="22"/>
              </w:rPr>
              <w:t xml:space="preserve">negativo </w:t>
            </w:r>
            <w:r w:rsidRPr="001C47B8">
              <w:rPr>
                <w:rFonts w:ascii="Calibri" w:hAnsi="Calibri" w:cs="Calibri"/>
                <w:szCs w:val="22"/>
              </w:rPr>
              <w:t xml:space="preserve">e </w:t>
            </w:r>
            <w:r w:rsidRPr="001C47B8">
              <w:rPr>
                <w:rFonts w:ascii="Calibri" w:hAnsi="Calibri" w:cs="Calibri"/>
                <w:bCs/>
                <w:szCs w:val="22"/>
              </w:rPr>
              <w:t>muito significativo</w:t>
            </w:r>
            <w:r w:rsidR="00EF2FF7">
              <w:rPr>
                <w:rFonts w:ascii="Calibri" w:hAnsi="Calibri" w:cs="Calibri"/>
                <w:szCs w:val="22"/>
              </w:rPr>
              <w:t xml:space="preserve">, </w:t>
            </w:r>
            <w:r w:rsidR="00EF2FF7" w:rsidRPr="004D71C5">
              <w:rPr>
                <w:rFonts w:ascii="Calibri" w:hAnsi="Calibri" w:cs="Calibri"/>
                <w:szCs w:val="22"/>
              </w:rPr>
              <w:t xml:space="preserve">sendo </w:t>
            </w:r>
            <w:r w:rsidR="00D66741" w:rsidRPr="004D71C5">
              <w:rPr>
                <w:rFonts w:ascii="Calibri" w:hAnsi="Calibri" w:cs="Calibri"/>
                <w:szCs w:val="22"/>
              </w:rPr>
              <w:t xml:space="preserve">que </w:t>
            </w:r>
            <w:r w:rsidR="00EF2FF7" w:rsidRPr="004D71C5">
              <w:rPr>
                <w:rFonts w:ascii="Calibri" w:hAnsi="Calibri" w:cs="Calibri"/>
                <w:szCs w:val="22"/>
              </w:rPr>
              <w:t xml:space="preserve">esta afetação </w:t>
            </w:r>
            <w:r w:rsidRPr="004D71C5">
              <w:rPr>
                <w:rFonts w:ascii="Calibri" w:hAnsi="Calibri" w:cs="Calibri"/>
                <w:szCs w:val="22"/>
              </w:rPr>
              <w:t xml:space="preserve">poderá ser minimizada desde que cumpridas as medidas </w:t>
            </w:r>
            <w:r w:rsidR="00614630" w:rsidRPr="004D71C5">
              <w:rPr>
                <w:rFonts w:ascii="Calibri" w:hAnsi="Calibri" w:cs="Calibri"/>
                <w:szCs w:val="22"/>
              </w:rPr>
              <w:t>de minimização</w:t>
            </w:r>
            <w:r w:rsidR="001E6B4F" w:rsidRPr="004D71C5">
              <w:rPr>
                <w:rFonts w:ascii="Calibri" w:hAnsi="Calibri" w:cs="Calibri"/>
                <w:szCs w:val="22"/>
              </w:rPr>
              <w:t xml:space="preserve"> previstas</w:t>
            </w:r>
            <w:r w:rsidR="00614630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:rsidR="00701E00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Relativamente à REN, o projeto não coloca em causa as funções desempenhadas pel</w:t>
            </w:r>
            <w:r>
              <w:rPr>
                <w:rFonts w:ascii="Calibri" w:hAnsi="Calibri"/>
                <w:szCs w:val="22"/>
              </w:rPr>
              <w:t>o sistema biofísico em presença (área de máxima infiltração).</w:t>
            </w:r>
          </w:p>
          <w:p w:rsidR="00614630" w:rsidRDefault="00614630" w:rsidP="0061463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 ponto de vista ecológico na zona abrangida pela exploração a céu aberto, os impactes provocados pela extração podem considerar-se negativos e significativos. Considerando que a exploração a céu aberto só será viável após </w:t>
            </w:r>
            <w:r>
              <w:rPr>
                <w:rFonts w:ascii="Calibri" w:hAnsi="Calibri"/>
                <w:szCs w:val="22"/>
              </w:rPr>
              <w:lastRenderedPageBreak/>
              <w:t>a entrada em vigor do PIER em curso, a correta aplicação do Plano Ambiental de Recuperação Paisagístico que está a ser elaborado no âmbito do Projeto Integrado (PI), irá permitir condições que levem ao restabelecimento dos habitats naturais.</w:t>
            </w:r>
          </w:p>
          <w:p w:rsidR="00614630" w:rsidRDefault="0061463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Quanto à fauna, considera-se que os impactes não serão muito significativos, em virtude de se tratar da instalação de uma pedreira num local onde já existem diversas explorações em atividade.</w:t>
            </w:r>
          </w:p>
          <w:p w:rsidR="00B4748E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 xml:space="preserve">Quanto ao Ordenamento do Território, verifica-se que o projeto não colide com as orientações estratégicas do PROT OVT. </w:t>
            </w:r>
          </w:p>
          <w:p w:rsidR="00701E00" w:rsidRPr="006321EF" w:rsidRDefault="00B4748E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Relativamente ao</w:t>
            </w:r>
            <w:r w:rsidR="00701E00" w:rsidRPr="006321EF">
              <w:rPr>
                <w:rFonts w:ascii="Calibri" w:hAnsi="Calibri"/>
                <w:szCs w:val="22"/>
              </w:rPr>
              <w:t xml:space="preserve"> PDMRM o projeto não está integralmente previsto </w:t>
            </w:r>
            <w:r>
              <w:rPr>
                <w:rFonts w:ascii="Calibri" w:hAnsi="Calibri"/>
                <w:szCs w:val="22"/>
              </w:rPr>
              <w:t xml:space="preserve">neste IGT, devendo a sua avaliação, neste caso, ser efetuada por IGT de nível superior – POPNSAC - cujos termos devem ser aceites pelo ICNF, entidade legalmente competente </w:t>
            </w:r>
            <w:r w:rsidR="00883E17">
              <w:rPr>
                <w:rFonts w:ascii="Calibri" w:hAnsi="Calibri"/>
                <w:szCs w:val="22"/>
              </w:rPr>
              <w:t>sobre o mesmo.</w:t>
            </w:r>
          </w:p>
          <w:p w:rsidR="00701E00" w:rsidRPr="006321EF" w:rsidRDefault="00701E00" w:rsidP="00701E00">
            <w:pPr>
              <w:spacing w:before="120" w:after="120" w:line="360" w:lineRule="auto"/>
              <w:rPr>
                <w:rFonts w:ascii="Calibri" w:hAnsi="Calibri"/>
                <w:szCs w:val="22"/>
              </w:rPr>
            </w:pPr>
            <w:r w:rsidRPr="006321EF">
              <w:rPr>
                <w:rFonts w:ascii="Calibri" w:hAnsi="Calibri"/>
                <w:szCs w:val="22"/>
              </w:rPr>
              <w:t>No que se refere à área do projeto integrada no PNSAC</w:t>
            </w:r>
            <w:r w:rsidR="004D71C5">
              <w:rPr>
                <w:rFonts w:ascii="Calibri" w:hAnsi="Calibri"/>
                <w:szCs w:val="22"/>
              </w:rPr>
              <w:t>,</w:t>
            </w:r>
            <w:r w:rsidR="003F7DEF">
              <w:rPr>
                <w:rFonts w:ascii="Calibri" w:hAnsi="Calibri"/>
                <w:szCs w:val="22"/>
              </w:rPr>
              <w:t xml:space="preserve"> </w:t>
            </w:r>
            <w:r w:rsidRPr="006321EF">
              <w:rPr>
                <w:rFonts w:ascii="Calibri" w:hAnsi="Calibri"/>
                <w:szCs w:val="22"/>
              </w:rPr>
              <w:t xml:space="preserve">e tendo em conta os regimes de proteção abrangidos pelo projeto de acordo com o RPOPNSAC em vigor, a exploração de massa mineral não é viável. Com efeito, </w:t>
            </w:r>
            <w:r w:rsidR="00883E17">
              <w:rPr>
                <w:rFonts w:ascii="Calibri" w:hAnsi="Calibri"/>
                <w:szCs w:val="22"/>
              </w:rPr>
              <w:t>grande parte</w:t>
            </w:r>
            <w:r w:rsidRPr="006321EF">
              <w:rPr>
                <w:rFonts w:ascii="Calibri" w:hAnsi="Calibri"/>
                <w:szCs w:val="22"/>
              </w:rPr>
              <w:t xml:space="preserve"> da área de exploração localiza-se</w:t>
            </w:r>
            <w:r>
              <w:rPr>
                <w:rFonts w:ascii="Calibri" w:hAnsi="Calibri"/>
                <w:szCs w:val="22"/>
              </w:rPr>
              <w:t xml:space="preserve"> num regime de proteção não compatível com a abertura desta exploração de massas minerais, sendo que apenas </w:t>
            </w:r>
            <w:r w:rsidR="00883E17">
              <w:rPr>
                <w:rFonts w:ascii="Calibri" w:hAnsi="Calibri"/>
                <w:szCs w:val="22"/>
              </w:rPr>
              <w:t>uma pequena parte</w:t>
            </w:r>
            <w:r>
              <w:rPr>
                <w:rFonts w:ascii="Calibri" w:hAnsi="Calibri"/>
                <w:szCs w:val="22"/>
              </w:rPr>
              <w:t xml:space="preserve"> (exploração proposta em céu aberto) se situa</w:t>
            </w:r>
            <w:r w:rsidRPr="006321EF">
              <w:rPr>
                <w:rFonts w:ascii="Calibri" w:hAnsi="Calibri"/>
                <w:szCs w:val="22"/>
              </w:rPr>
              <w:t xml:space="preserve"> no interior da “</w:t>
            </w:r>
            <w:r>
              <w:rPr>
                <w:rFonts w:ascii="Calibri" w:hAnsi="Calibri"/>
                <w:szCs w:val="22"/>
              </w:rPr>
              <w:t xml:space="preserve">Área de Intervenção Específica </w:t>
            </w:r>
            <w:r w:rsidRPr="006321EF">
              <w:rPr>
                <w:rFonts w:ascii="Calibri" w:hAnsi="Calibri"/>
                <w:szCs w:val="22"/>
              </w:rPr>
              <w:t>de Portela das Salgueiras</w:t>
            </w:r>
            <w:r>
              <w:rPr>
                <w:rFonts w:ascii="Calibri" w:hAnsi="Calibri"/>
                <w:szCs w:val="22"/>
              </w:rPr>
              <w:t>”</w:t>
            </w:r>
            <w:r w:rsidRPr="006321EF">
              <w:rPr>
                <w:rFonts w:ascii="Calibri" w:hAnsi="Calibri"/>
                <w:szCs w:val="22"/>
              </w:rPr>
              <w:t xml:space="preserve">, para a qual </w:t>
            </w:r>
            <w:r>
              <w:rPr>
                <w:rFonts w:ascii="Calibri" w:hAnsi="Calibri"/>
                <w:szCs w:val="22"/>
              </w:rPr>
              <w:t>está a ser elaborado plano municipal</w:t>
            </w:r>
            <w:r w:rsidRPr="006321EF">
              <w:rPr>
                <w:rFonts w:ascii="Calibri" w:hAnsi="Calibri"/>
                <w:szCs w:val="22"/>
              </w:rPr>
              <w:t xml:space="preserve"> de ordenamento do território</w:t>
            </w:r>
            <w:r>
              <w:rPr>
                <w:rFonts w:ascii="Calibri" w:hAnsi="Calibri"/>
                <w:szCs w:val="22"/>
              </w:rPr>
              <w:t>, na modalidade de Plano de Intervenção em Espaço Rural</w:t>
            </w:r>
            <w:r w:rsidRPr="006321EF">
              <w:rPr>
                <w:rFonts w:ascii="Calibri" w:hAnsi="Calibri"/>
                <w:szCs w:val="22"/>
              </w:rPr>
              <w:t xml:space="preserve">, visando o estabelecimento de medidas de compatibilização entre a gestão racional da extração de massas minerais, a recuperação de áreas degradadas e a conservação do património natural existente. </w:t>
            </w:r>
          </w:p>
          <w:p w:rsidR="00E90EA7" w:rsidRDefault="00701E00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 w:rsidRPr="006321EF">
              <w:rPr>
                <w:rFonts w:ascii="Calibri" w:hAnsi="Calibri" w:cs="Arial"/>
                <w:szCs w:val="22"/>
              </w:rPr>
              <w:t>Nesse sentido, encontra-se em curso o Plano de Pormenor previsto na modalidade de “Plano de Intervenção Em Espaço Rural” (PIER) para a AIE d</w:t>
            </w:r>
            <w:r w:rsidR="00883E17">
              <w:rPr>
                <w:rFonts w:ascii="Calibri" w:hAnsi="Calibri" w:cs="Arial"/>
                <w:szCs w:val="22"/>
              </w:rPr>
              <w:t>a Portela das Salgueiras. Para esta</w:t>
            </w:r>
            <w:r w:rsidRPr="006321EF">
              <w:rPr>
                <w:rFonts w:ascii="Calibri" w:hAnsi="Calibri" w:cs="Arial"/>
                <w:szCs w:val="22"/>
              </w:rPr>
              <w:t xml:space="preserve"> AIE vai ser também elaborado o Plano Integrado (PI) da Portela das Salgueiras. </w:t>
            </w:r>
            <w:r w:rsidR="00883E17">
              <w:rPr>
                <w:rFonts w:ascii="Calibri" w:hAnsi="Calibri" w:cs="Arial"/>
                <w:szCs w:val="22"/>
              </w:rPr>
              <w:t>Este plano pretende</w:t>
            </w:r>
            <w:r w:rsidRPr="006321EF">
              <w:rPr>
                <w:rFonts w:ascii="Calibri" w:hAnsi="Calibri" w:cs="Arial"/>
                <w:szCs w:val="22"/>
              </w:rPr>
              <w:t xml:space="preserve"> que as unidades industriais extrativas vizinhas ou confinantes, que apresentem características próprias e objetivos de produção independentes, convirjam nas ações de </w:t>
            </w:r>
            <w:r w:rsidRPr="006321EF">
              <w:rPr>
                <w:rFonts w:ascii="Calibri" w:hAnsi="Calibri" w:cs="Arial"/>
                <w:szCs w:val="22"/>
              </w:rPr>
              <w:lastRenderedPageBreak/>
              <w:t>exploração e de integração paisagística.</w:t>
            </w:r>
          </w:p>
          <w:p w:rsidR="00294097" w:rsidRDefault="00294097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Quanto à exploração prevista em subterrâneo, por abranger áreas do POPNSAC classificadas como “Áreas de Proteção Parcial Tipo I”, </w:t>
            </w:r>
            <w:r w:rsidR="00614630">
              <w:rPr>
                <w:rFonts w:ascii="Calibri" w:hAnsi="Calibri" w:cs="Arial"/>
                <w:szCs w:val="22"/>
              </w:rPr>
              <w:t xml:space="preserve">esta </w:t>
            </w:r>
            <w:r>
              <w:rPr>
                <w:rFonts w:ascii="Calibri" w:hAnsi="Calibri" w:cs="Arial"/>
                <w:szCs w:val="22"/>
              </w:rPr>
              <w:t>não é compatível com este IGT nos termos da RCM nº 57/2010, de 12 de Agosto.</w:t>
            </w:r>
          </w:p>
          <w:p w:rsidR="00294097" w:rsidRDefault="00294097" w:rsidP="00701E00">
            <w:pPr>
              <w:spacing w:before="120" w:line="36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Não obstante e verificando-se que </w:t>
            </w:r>
            <w:r w:rsidR="00614630">
              <w:rPr>
                <w:rFonts w:ascii="Calibri" w:hAnsi="Calibri" w:cs="Arial"/>
                <w:szCs w:val="22"/>
              </w:rPr>
              <w:t xml:space="preserve">as áreas definidas no POPNSAC pretendem salvaguardar </w:t>
            </w:r>
            <w:r>
              <w:rPr>
                <w:rFonts w:ascii="Calibri" w:hAnsi="Calibri" w:cs="Arial"/>
                <w:szCs w:val="22"/>
              </w:rPr>
              <w:t xml:space="preserve">os valores ambientais </w:t>
            </w:r>
            <w:r w:rsidR="00614630">
              <w:rPr>
                <w:rFonts w:ascii="Calibri" w:hAnsi="Calibri" w:cs="Arial"/>
                <w:szCs w:val="22"/>
              </w:rPr>
              <w:t>em presença</w:t>
            </w:r>
            <w:r w:rsidR="00883E17">
              <w:rPr>
                <w:rFonts w:ascii="Calibri" w:hAnsi="Calibri" w:cs="Arial"/>
                <w:szCs w:val="22"/>
              </w:rPr>
              <w:t>,</w:t>
            </w:r>
            <w:r w:rsidR="00614630">
              <w:rPr>
                <w:rFonts w:ascii="Calibri" w:hAnsi="Calibri" w:cs="Arial"/>
                <w:szCs w:val="22"/>
              </w:rPr>
              <w:t xml:space="preserve"> designadamente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="00883E17">
              <w:rPr>
                <w:rFonts w:ascii="Calibri" w:hAnsi="Calibri" w:cs="Arial"/>
                <w:szCs w:val="22"/>
              </w:rPr>
              <w:t>no que se refere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="00883E17">
              <w:rPr>
                <w:rFonts w:ascii="Calibri" w:hAnsi="Calibri" w:cs="Arial"/>
                <w:szCs w:val="22"/>
              </w:rPr>
              <w:t xml:space="preserve">à </w:t>
            </w:r>
            <w:r>
              <w:rPr>
                <w:rFonts w:ascii="Calibri" w:hAnsi="Calibri" w:cs="Arial"/>
                <w:szCs w:val="22"/>
              </w:rPr>
              <w:t xml:space="preserve">fauna e </w:t>
            </w:r>
            <w:r w:rsidR="00883E17">
              <w:rPr>
                <w:rFonts w:ascii="Calibri" w:hAnsi="Calibri" w:cs="Arial"/>
                <w:szCs w:val="22"/>
              </w:rPr>
              <w:t>à flora</w:t>
            </w:r>
            <w:r>
              <w:rPr>
                <w:rFonts w:ascii="Calibri" w:hAnsi="Calibri" w:cs="Arial"/>
                <w:szCs w:val="22"/>
              </w:rPr>
              <w:t xml:space="preserve">, </w:t>
            </w:r>
            <w:r w:rsidR="00614630">
              <w:rPr>
                <w:rFonts w:ascii="Calibri" w:hAnsi="Calibri" w:cs="Arial"/>
                <w:szCs w:val="22"/>
              </w:rPr>
              <w:t xml:space="preserve">e que </w:t>
            </w:r>
            <w:r>
              <w:rPr>
                <w:rFonts w:ascii="Calibri" w:hAnsi="Calibri" w:cs="Arial"/>
                <w:szCs w:val="22"/>
              </w:rPr>
              <w:t xml:space="preserve">a atividade subterrânea não afeta </w:t>
            </w:r>
            <w:r w:rsidR="00883E17">
              <w:rPr>
                <w:rFonts w:ascii="Calibri" w:hAnsi="Calibri" w:cs="Arial"/>
                <w:szCs w:val="22"/>
              </w:rPr>
              <w:t>os mesmos</w:t>
            </w:r>
            <w:r w:rsidR="00614630">
              <w:rPr>
                <w:rFonts w:ascii="Calibri" w:hAnsi="Calibri" w:cs="Arial"/>
                <w:szCs w:val="22"/>
              </w:rPr>
              <w:t>, por não se desenvolver à superfície</w:t>
            </w:r>
            <w:r>
              <w:rPr>
                <w:rFonts w:ascii="Calibri" w:hAnsi="Calibri" w:cs="Arial"/>
                <w:szCs w:val="22"/>
              </w:rPr>
              <w:t>, consideram-se os impactes pouco significativos ou sem significado, não havendo assim</w:t>
            </w:r>
            <w:r w:rsidR="00311691"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szCs w:val="22"/>
              </w:rPr>
              <w:t>questões de facto de matéria ambiental que impossibilitem as ações.</w:t>
            </w:r>
          </w:p>
          <w:p w:rsidR="00112762" w:rsidRDefault="007C3A72" w:rsidP="003476D8">
            <w:pPr>
              <w:spacing w:before="120" w:line="360" w:lineRule="auto"/>
              <w:rPr>
                <w:rFonts w:asciiTheme="minorHAnsi" w:hAnsiTheme="minorHAnsi" w:cs="Arial"/>
                <w:szCs w:val="22"/>
              </w:rPr>
            </w:pPr>
            <w:r w:rsidRPr="004D71C5">
              <w:rPr>
                <w:rFonts w:asciiTheme="minorHAnsi" w:hAnsiTheme="minorHAnsi" w:cs="Arial"/>
                <w:szCs w:val="22"/>
              </w:rPr>
              <w:t>Importa salientar que,</w:t>
            </w:r>
            <w:r>
              <w:rPr>
                <w:rFonts w:asciiTheme="minorHAnsi" w:hAnsiTheme="minorHAnsi" w:cs="Arial"/>
                <w:szCs w:val="22"/>
              </w:rPr>
              <w:t xml:space="preserve"> de </w:t>
            </w:r>
            <w:r w:rsidR="000132F0">
              <w:rPr>
                <w:rFonts w:asciiTheme="minorHAnsi" w:hAnsiTheme="minorHAnsi" w:cs="Arial"/>
                <w:szCs w:val="22"/>
              </w:rPr>
              <w:t>acordo com o</w:t>
            </w:r>
            <w:r w:rsidR="00311691" w:rsidRPr="00311691">
              <w:rPr>
                <w:rFonts w:asciiTheme="minorHAnsi" w:hAnsiTheme="minorHAnsi" w:cs="Arial"/>
                <w:szCs w:val="22"/>
              </w:rPr>
              <w:t xml:space="preserve"> </w:t>
            </w:r>
            <w:r w:rsidR="000132F0" w:rsidRPr="00311691">
              <w:rPr>
                <w:rFonts w:asciiTheme="minorHAnsi" w:hAnsiTheme="minorHAnsi" w:cs="Arial"/>
                <w:szCs w:val="22"/>
              </w:rPr>
              <w:t>nº 6 do art.º 18º do Decreto-Lei n</w:t>
            </w:r>
            <w:r w:rsidR="000132F0">
              <w:rPr>
                <w:rFonts w:asciiTheme="minorHAnsi" w:hAnsiTheme="minorHAnsi" w:cs="Arial"/>
                <w:szCs w:val="22"/>
              </w:rPr>
              <w:t xml:space="preserve">º 151-B/2013, de 31 de outubro – </w:t>
            </w:r>
            <w:r w:rsidR="000132F0" w:rsidRPr="003476D8">
              <w:rPr>
                <w:rFonts w:asciiTheme="minorHAnsi" w:hAnsiTheme="minorHAnsi" w:cs="Arial"/>
                <w:i/>
                <w:szCs w:val="22"/>
              </w:rPr>
              <w:t>“A desconformidade do projeto com os instrumentos de gestão territorial aplicáveis não condiciona o sentido da decisão da DIA</w:t>
            </w:r>
            <w:r w:rsidR="000132F0" w:rsidRPr="00311691">
              <w:rPr>
                <w:rFonts w:asciiTheme="minorHAnsi" w:hAnsiTheme="minorHAnsi" w:cs="Arial"/>
                <w:szCs w:val="22"/>
              </w:rPr>
              <w:t xml:space="preserve"> </w:t>
            </w:r>
            <w:r w:rsidR="000132F0">
              <w:rPr>
                <w:rFonts w:asciiTheme="minorHAnsi" w:hAnsiTheme="minorHAnsi" w:cs="Arial"/>
                <w:szCs w:val="22"/>
              </w:rPr>
              <w:t>“. N</w:t>
            </w:r>
            <w:r w:rsidR="00536C8E">
              <w:rPr>
                <w:rFonts w:asciiTheme="minorHAnsi" w:hAnsiTheme="minorHAnsi" w:cs="Arial"/>
                <w:szCs w:val="22"/>
              </w:rPr>
              <w:t>esta</w:t>
            </w:r>
            <w:r w:rsidR="000132F0">
              <w:rPr>
                <w:rFonts w:asciiTheme="minorHAnsi" w:hAnsiTheme="minorHAnsi" w:cs="Arial"/>
                <w:szCs w:val="22"/>
              </w:rPr>
              <w:t xml:space="preserve"> conformidade, o facto de,</w:t>
            </w:r>
            <w:r w:rsidR="00614630">
              <w:rPr>
                <w:rFonts w:asciiTheme="minorHAnsi" w:hAnsiTheme="minorHAnsi" w:cs="Arial"/>
                <w:szCs w:val="22"/>
              </w:rPr>
              <w:t xml:space="preserve"> em matéria de direito, </w:t>
            </w:r>
            <w:r w:rsidR="000132F0">
              <w:rPr>
                <w:rFonts w:asciiTheme="minorHAnsi" w:hAnsiTheme="minorHAnsi" w:cs="Arial"/>
                <w:szCs w:val="22"/>
              </w:rPr>
              <w:t>existir</w:t>
            </w:r>
            <w:r w:rsidR="00311691" w:rsidRPr="00311691">
              <w:rPr>
                <w:rFonts w:asciiTheme="minorHAnsi" w:hAnsiTheme="minorHAnsi" w:cs="Arial"/>
                <w:szCs w:val="22"/>
              </w:rPr>
              <w:t xml:space="preserve"> desconformidade </w:t>
            </w:r>
            <w:r w:rsidR="00614630">
              <w:rPr>
                <w:rFonts w:asciiTheme="minorHAnsi" w:hAnsiTheme="minorHAnsi" w:cs="Arial"/>
                <w:szCs w:val="22"/>
              </w:rPr>
              <w:t>do projeto com o articulado</w:t>
            </w:r>
            <w:r w:rsidR="00311691" w:rsidRPr="00311691">
              <w:rPr>
                <w:rFonts w:asciiTheme="minorHAnsi" w:hAnsiTheme="minorHAnsi" w:cs="Arial"/>
                <w:szCs w:val="22"/>
              </w:rPr>
              <w:t xml:space="preserve"> </w:t>
            </w:r>
            <w:r w:rsidR="00614630">
              <w:rPr>
                <w:rFonts w:asciiTheme="minorHAnsi" w:hAnsiTheme="minorHAnsi" w:cs="Arial"/>
                <w:szCs w:val="22"/>
              </w:rPr>
              <w:t>d</w:t>
            </w:r>
            <w:r w:rsidR="00311691" w:rsidRPr="00311691">
              <w:rPr>
                <w:rFonts w:asciiTheme="minorHAnsi" w:hAnsiTheme="minorHAnsi" w:cs="Arial"/>
                <w:szCs w:val="22"/>
              </w:rPr>
              <w:t xml:space="preserve">o Regulamento do POPNSAC, </w:t>
            </w:r>
            <w:r w:rsidR="00536C8E">
              <w:rPr>
                <w:rFonts w:asciiTheme="minorHAnsi" w:hAnsiTheme="minorHAnsi" w:cs="Arial"/>
                <w:szCs w:val="22"/>
              </w:rPr>
              <w:t xml:space="preserve">não permite sustentar </w:t>
            </w:r>
            <w:r w:rsidR="00536C8E" w:rsidRPr="00536C8E">
              <w:rPr>
                <w:rFonts w:asciiTheme="minorHAnsi" w:hAnsiTheme="minorHAnsi" w:cs="Arial"/>
                <w:i/>
                <w:szCs w:val="22"/>
              </w:rPr>
              <w:t>“</w:t>
            </w:r>
            <w:r w:rsidR="000132F0" w:rsidRPr="00536C8E">
              <w:rPr>
                <w:rFonts w:asciiTheme="minorHAnsi" w:hAnsiTheme="minorHAnsi" w:cs="Arial"/>
                <w:i/>
                <w:szCs w:val="22"/>
              </w:rPr>
              <w:t>per si</w:t>
            </w:r>
            <w:r w:rsidR="00536C8E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536C8E" w:rsidRPr="00536C8E">
              <w:rPr>
                <w:rFonts w:asciiTheme="minorHAnsi" w:hAnsiTheme="minorHAnsi" w:cs="Arial"/>
                <w:i/>
                <w:szCs w:val="22"/>
              </w:rPr>
              <w:t>”</w:t>
            </w:r>
            <w:r w:rsidR="000132F0">
              <w:rPr>
                <w:rFonts w:asciiTheme="minorHAnsi" w:hAnsiTheme="minorHAnsi" w:cs="Arial"/>
                <w:szCs w:val="22"/>
              </w:rPr>
              <w:t>uma decisão desfavoráve</w:t>
            </w:r>
            <w:r w:rsidR="00536C8E">
              <w:rPr>
                <w:rFonts w:asciiTheme="minorHAnsi" w:hAnsiTheme="minorHAnsi" w:cs="Arial"/>
                <w:szCs w:val="22"/>
              </w:rPr>
              <w:t>l</w:t>
            </w:r>
            <w:r w:rsidR="00614630">
              <w:rPr>
                <w:rFonts w:asciiTheme="minorHAnsi" w:hAnsiTheme="minorHAnsi" w:cs="Arial"/>
                <w:szCs w:val="22"/>
              </w:rPr>
              <w:t xml:space="preserve">. </w:t>
            </w:r>
          </w:p>
          <w:p w:rsidR="008C19DC" w:rsidRDefault="00112762" w:rsidP="003476D8">
            <w:pPr>
              <w:spacing w:before="120" w:line="360" w:lineRule="auto"/>
              <w:rPr>
                <w:rFonts w:asciiTheme="minorHAnsi" w:hAnsiTheme="minorHAnsi" w:cs="Arial"/>
                <w:szCs w:val="22"/>
              </w:rPr>
            </w:pPr>
            <w:r w:rsidRPr="004D71C5">
              <w:rPr>
                <w:rFonts w:asciiTheme="minorHAnsi" w:hAnsiTheme="minorHAnsi" w:cs="Arial"/>
                <w:szCs w:val="22"/>
              </w:rPr>
              <w:t>De referir ainda que,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="003476D8">
              <w:rPr>
                <w:rFonts w:asciiTheme="minorHAnsi" w:hAnsiTheme="minorHAnsi" w:cs="Arial"/>
                <w:szCs w:val="22"/>
              </w:rPr>
              <w:t xml:space="preserve">de acordo com o ponto 1 do art.º 18º do referido diploma a decisão deve fundamentar-se </w:t>
            </w:r>
            <w:r w:rsidR="003476D8" w:rsidRPr="003476D8">
              <w:rPr>
                <w:rFonts w:asciiTheme="minorHAnsi" w:hAnsiTheme="minorHAnsi" w:cs="Arial"/>
                <w:i/>
                <w:szCs w:val="22"/>
              </w:rPr>
              <w:t>“num índice de avaliação ponderada de impactes ambientais (…</w:t>
            </w:r>
            <w:proofErr w:type="gramStart"/>
            <w:r w:rsidR="003476D8" w:rsidRPr="003476D8">
              <w:rPr>
                <w:rFonts w:asciiTheme="minorHAnsi" w:hAnsiTheme="minorHAnsi" w:cs="Arial"/>
                <w:i/>
                <w:szCs w:val="22"/>
              </w:rPr>
              <w:t>)</w:t>
            </w:r>
            <w:proofErr w:type="gramEnd"/>
            <w:r w:rsidR="003476D8" w:rsidRPr="003476D8">
              <w:rPr>
                <w:rFonts w:asciiTheme="minorHAnsi" w:hAnsiTheme="minorHAnsi" w:cs="Arial"/>
                <w:i/>
                <w:szCs w:val="22"/>
              </w:rPr>
              <w:t xml:space="preserve">” </w:t>
            </w:r>
            <w:r w:rsidR="004D71C5">
              <w:rPr>
                <w:rFonts w:asciiTheme="minorHAnsi" w:hAnsiTheme="minorHAnsi" w:cs="Arial"/>
                <w:szCs w:val="22"/>
              </w:rPr>
              <w:t>cujo exercício</w:t>
            </w:r>
            <w:r w:rsidR="007C3A72" w:rsidRPr="004D71C5">
              <w:rPr>
                <w:rFonts w:asciiTheme="minorHAnsi" w:hAnsiTheme="minorHAnsi" w:cs="Arial"/>
                <w:szCs w:val="22"/>
              </w:rPr>
              <w:t>, decorrente da análise de impactes levada a cabo</w:t>
            </w:r>
            <w:r w:rsidRPr="004D71C5">
              <w:rPr>
                <w:rFonts w:asciiTheme="minorHAnsi" w:hAnsiTheme="minorHAnsi" w:cs="Arial"/>
                <w:szCs w:val="22"/>
              </w:rPr>
              <w:t xml:space="preserve">  pela C</w:t>
            </w:r>
            <w:r w:rsidR="004D71C5">
              <w:rPr>
                <w:rFonts w:asciiTheme="minorHAnsi" w:hAnsiTheme="minorHAnsi" w:cs="Arial"/>
                <w:szCs w:val="22"/>
              </w:rPr>
              <w:t xml:space="preserve">omissão de </w:t>
            </w:r>
            <w:r w:rsidRPr="004D71C5">
              <w:rPr>
                <w:rFonts w:asciiTheme="minorHAnsi" w:hAnsiTheme="minorHAnsi" w:cs="Arial"/>
                <w:szCs w:val="22"/>
              </w:rPr>
              <w:t>A</w:t>
            </w:r>
            <w:r w:rsidR="004D71C5">
              <w:rPr>
                <w:rFonts w:asciiTheme="minorHAnsi" w:hAnsiTheme="minorHAnsi" w:cs="Arial"/>
                <w:szCs w:val="22"/>
              </w:rPr>
              <w:t>valiação</w:t>
            </w:r>
            <w:r w:rsidRPr="004D71C5">
              <w:rPr>
                <w:rFonts w:asciiTheme="minorHAnsi" w:hAnsiTheme="minorHAnsi" w:cs="Arial"/>
                <w:szCs w:val="22"/>
              </w:rPr>
              <w:t xml:space="preserve"> </w:t>
            </w:r>
            <w:r w:rsidR="003476D8" w:rsidRPr="004D71C5">
              <w:rPr>
                <w:rFonts w:asciiTheme="minorHAnsi" w:hAnsiTheme="minorHAnsi" w:cs="Arial"/>
                <w:szCs w:val="22"/>
              </w:rPr>
              <w:t xml:space="preserve">obteve como resultado </w:t>
            </w:r>
            <w:r w:rsidR="00311691" w:rsidRPr="004D71C5">
              <w:rPr>
                <w:rFonts w:asciiTheme="minorHAnsi" w:hAnsiTheme="minorHAnsi" w:cs="Arial"/>
                <w:szCs w:val="22"/>
              </w:rPr>
              <w:t xml:space="preserve"> </w:t>
            </w:r>
            <w:r w:rsidR="003476D8" w:rsidRPr="004D71C5">
              <w:rPr>
                <w:rFonts w:asciiTheme="minorHAnsi" w:hAnsiTheme="minorHAnsi" w:cs="Arial"/>
                <w:szCs w:val="22"/>
              </w:rPr>
              <w:t>um valor de</w:t>
            </w:r>
            <w:r w:rsidR="00311691" w:rsidRPr="004D71C5">
              <w:rPr>
                <w:rFonts w:asciiTheme="minorHAnsi" w:hAnsiTheme="minorHAnsi" w:cs="Arial"/>
                <w:szCs w:val="22"/>
              </w:rPr>
              <w:t xml:space="preserve"> “4”</w:t>
            </w:r>
            <w:r w:rsidR="003476D8" w:rsidRPr="004D71C5">
              <w:rPr>
                <w:rFonts w:asciiTheme="minorHAnsi" w:hAnsiTheme="minorHAnsi" w:cs="Arial"/>
                <w:szCs w:val="22"/>
              </w:rPr>
              <w:t>.</w:t>
            </w:r>
          </w:p>
          <w:p w:rsidR="00112762" w:rsidRDefault="00112762" w:rsidP="003476D8">
            <w:pPr>
              <w:spacing w:before="120" w:line="360" w:lineRule="auto"/>
              <w:rPr>
                <w:rFonts w:asciiTheme="minorHAnsi" w:hAnsiTheme="minorHAnsi" w:cs="Arial"/>
                <w:szCs w:val="22"/>
              </w:rPr>
            </w:pPr>
          </w:p>
          <w:p w:rsidR="003476D8" w:rsidRPr="00311691" w:rsidRDefault="003476D8" w:rsidP="00F64B65">
            <w:pPr>
              <w:spacing w:before="120" w:line="36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Do exposto </w:t>
            </w:r>
            <w:r w:rsidR="00F64B65">
              <w:rPr>
                <w:rFonts w:asciiTheme="minorHAnsi" w:hAnsiTheme="minorHAnsi" w:cs="Arial"/>
                <w:szCs w:val="22"/>
              </w:rPr>
              <w:t>emite</w:t>
            </w:r>
            <w:r>
              <w:rPr>
                <w:rFonts w:asciiTheme="minorHAnsi" w:hAnsiTheme="minorHAnsi" w:cs="Arial"/>
                <w:szCs w:val="22"/>
              </w:rPr>
              <w:t xml:space="preserve">-se a </w:t>
            </w:r>
            <w:r w:rsidR="00F64B65">
              <w:rPr>
                <w:rFonts w:asciiTheme="minorHAnsi" w:hAnsiTheme="minorHAnsi" w:cs="Arial"/>
                <w:szCs w:val="22"/>
              </w:rPr>
              <w:t xml:space="preserve">presente </w:t>
            </w:r>
            <w:r w:rsidR="00B4748E">
              <w:rPr>
                <w:rFonts w:asciiTheme="minorHAnsi" w:hAnsiTheme="minorHAnsi" w:cs="Arial"/>
                <w:szCs w:val="22"/>
              </w:rPr>
              <w:t>DIA F</w:t>
            </w:r>
            <w:r>
              <w:rPr>
                <w:rFonts w:asciiTheme="minorHAnsi" w:hAnsiTheme="minorHAnsi" w:cs="Arial"/>
                <w:szCs w:val="22"/>
              </w:rPr>
              <w:t>avorável Condi</w:t>
            </w:r>
            <w:r w:rsidR="00883E17">
              <w:rPr>
                <w:rFonts w:asciiTheme="minorHAnsi" w:hAnsiTheme="minorHAnsi" w:cs="Arial"/>
                <w:szCs w:val="22"/>
              </w:rPr>
              <w:t>cionada ao projeto da P</w:t>
            </w:r>
            <w:r>
              <w:rPr>
                <w:rFonts w:asciiTheme="minorHAnsi" w:hAnsiTheme="minorHAnsi" w:cs="Arial"/>
                <w:szCs w:val="22"/>
              </w:rPr>
              <w:t>edreira Portela das Salgueiras.</w:t>
            </w:r>
          </w:p>
        </w:tc>
      </w:tr>
    </w:tbl>
    <w:p w:rsidR="003B4E34" w:rsidRPr="001A5DC3" w:rsidRDefault="003B4E34">
      <w:pPr>
        <w:rPr>
          <w:sz w:val="18"/>
          <w:szCs w:val="18"/>
        </w:rPr>
      </w:pPr>
    </w:p>
    <w:sectPr w:rsidR="003B4E34" w:rsidRPr="001A5DC3" w:rsidSect="00B5616D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7C" w:rsidRDefault="0037107C">
      <w:pPr>
        <w:spacing w:before="0"/>
      </w:pPr>
      <w:r>
        <w:separator/>
      </w:r>
    </w:p>
  </w:endnote>
  <w:endnote w:type="continuationSeparator" w:id="0">
    <w:p w:rsidR="0037107C" w:rsidRDefault="003710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8E" w:rsidRDefault="001D03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74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48E" w:rsidRDefault="00B4748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8E" w:rsidRDefault="001D03FD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  <w:r>
      <w:rPr>
        <w:rStyle w:val="Nmerodepgina"/>
        <w:sz w:val="16"/>
        <w:szCs w:val="16"/>
      </w:rPr>
      <w:fldChar w:fldCharType="begin"/>
    </w:r>
    <w:r w:rsidR="00B4748E">
      <w:rPr>
        <w:rStyle w:val="Nmerodepgina"/>
        <w:sz w:val="16"/>
        <w:szCs w:val="16"/>
      </w:rPr>
      <w:instrText xml:space="preserve">PAGE  </w:instrText>
    </w:r>
    <w:r>
      <w:rPr>
        <w:rStyle w:val="Nmerodepgina"/>
        <w:sz w:val="16"/>
        <w:szCs w:val="16"/>
      </w:rPr>
      <w:fldChar w:fldCharType="separate"/>
    </w:r>
    <w:r w:rsidR="00516CE0">
      <w:rPr>
        <w:rStyle w:val="Nmerodepgina"/>
        <w:noProof/>
        <w:sz w:val="16"/>
        <w:szCs w:val="16"/>
      </w:rPr>
      <w:t>1</w:t>
    </w:r>
    <w:r>
      <w:rPr>
        <w:rStyle w:val="Nmerodepgina"/>
        <w:sz w:val="16"/>
        <w:szCs w:val="16"/>
      </w:rPr>
      <w:fldChar w:fldCharType="end"/>
    </w:r>
  </w:p>
  <w:tbl>
    <w:tblPr>
      <w:tblW w:w="9322" w:type="dxa"/>
      <w:tblLook w:val="04A0"/>
    </w:tblPr>
    <w:tblGrid>
      <w:gridCol w:w="4219"/>
      <w:gridCol w:w="5103"/>
    </w:tblGrid>
    <w:tr w:rsidR="00B4748E" w:rsidRPr="00175F0E" w:rsidTr="00175F0E">
      <w:tc>
        <w:tcPr>
          <w:tcW w:w="4219" w:type="dxa"/>
        </w:tcPr>
        <w:p w:rsidR="00B4748E" w:rsidRPr="00175F0E" w:rsidRDefault="00B4748E" w:rsidP="00175F0E">
          <w:pPr>
            <w:pStyle w:val="Rodap"/>
            <w:spacing w:before="0"/>
            <w:rPr>
              <w:rFonts w:ascii="Trebuchet MS" w:hAnsi="Trebuchet MS"/>
              <w:sz w:val="14"/>
              <w:szCs w:val="14"/>
              <w:lang w:val="en-US"/>
            </w:rPr>
          </w:pPr>
          <w:r>
            <w:rPr>
              <w:rFonts w:ascii="Trebuchet MS" w:hAnsi="Trebuchet MS"/>
              <w:noProof/>
              <w:sz w:val="14"/>
              <w:szCs w:val="14"/>
            </w:rPr>
            <w:drawing>
              <wp:inline distT="0" distB="0" distL="0" distR="0">
                <wp:extent cx="2333625" cy="428625"/>
                <wp:effectExtent l="0" t="0" r="9525" b="0"/>
                <wp:docPr id="1" name="Imagem 1" descr="logoP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B4748E" w:rsidRPr="00175F0E" w:rsidRDefault="00B4748E" w:rsidP="00175F0E">
          <w:pPr>
            <w:pStyle w:val="Rodap"/>
            <w:spacing w:before="0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</w:p>
        <w:p w:rsidR="00B4748E" w:rsidRPr="00175F0E" w:rsidRDefault="00B4748E" w:rsidP="00175F0E">
          <w:pPr>
            <w:pStyle w:val="Rodap"/>
            <w:spacing w:before="0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proofErr w:type="gramStart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>www.ccdr-lvt.pt</w:t>
          </w:r>
          <w:proofErr w:type="gramEnd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· </w:t>
          </w:r>
          <w:proofErr w:type="gramStart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>geral@ccdr-lvt.pt</w:t>
          </w:r>
          <w:proofErr w:type="gramEnd"/>
        </w:p>
        <w:p w:rsidR="00B4748E" w:rsidRPr="00175F0E" w:rsidRDefault="00B4748E" w:rsidP="00175F0E">
          <w:pPr>
            <w:pStyle w:val="Rodap"/>
            <w:spacing w:before="0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</w:p>
        <w:p w:rsidR="00B4748E" w:rsidRPr="00175F0E" w:rsidRDefault="00B4748E" w:rsidP="00EE1CF0">
          <w:pPr>
            <w:pStyle w:val="Rodap"/>
            <w:spacing w:before="0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</w:t>
          </w: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>Alexandre Herculano,</w:t>
          </w: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</w:t>
          </w:r>
          <w:r>
            <w:rPr>
              <w:rFonts w:ascii="Microsoft Sans Serif" w:hAnsi="Microsoft Sans Serif" w:cs="Microsoft Sans Serif"/>
              <w:b/>
              <w:sz w:val="12"/>
              <w:szCs w:val="12"/>
            </w:rPr>
            <w:t>3</w:t>
          </w: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7 · </w:t>
          </w:r>
          <w:r w:rsidRPr="008B7A3E">
            <w:rPr>
              <w:rFonts w:ascii="Microsoft Sans Serif" w:eastAsiaTheme="minorEastAsia" w:hAnsi="Microsoft Sans Serif" w:cs="Microsoft Sans Serif"/>
              <w:b/>
              <w:noProof/>
              <w:color w:val="000000"/>
              <w:sz w:val="12"/>
              <w:szCs w:val="12"/>
            </w:rPr>
            <w:t>1269-053 Lisboa</w:t>
          </w:r>
          <w:r>
            <w:rPr>
              <w:rFonts w:ascii="Microsoft Sans Serif" w:eastAsiaTheme="minorEastAsia" w:hAnsi="Microsoft Sans Serif" w:cs="Microsoft Sans Serif"/>
              <w:noProof/>
              <w:color w:val="000000"/>
              <w:sz w:val="12"/>
              <w:szCs w:val="12"/>
            </w:rPr>
            <w:t xml:space="preserve">   </w:t>
          </w: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· Tel. </w:t>
          </w:r>
          <w:r w:rsidRPr="008B7A3E">
            <w:rPr>
              <w:rFonts w:ascii="Microsoft Sans Serif" w:eastAsiaTheme="minorEastAsia" w:hAnsi="Microsoft Sans Serif" w:cs="Microsoft Sans Serif"/>
              <w:b/>
              <w:noProof/>
              <w:color w:val="000000"/>
              <w:sz w:val="12"/>
              <w:szCs w:val="12"/>
            </w:rPr>
            <w:t>213 837 100</w:t>
          </w: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· </w:t>
          </w:r>
          <w:proofErr w:type="gramStart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>Fax</w:t>
          </w:r>
          <w:proofErr w:type="gramEnd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</w:t>
          </w:r>
          <w:r w:rsidRPr="008B7A3E">
            <w:rPr>
              <w:rFonts w:ascii="Microsoft Sans Serif" w:eastAsiaTheme="minorEastAsia" w:hAnsi="Microsoft Sans Serif" w:cs="Microsoft Sans Serif"/>
              <w:b/>
              <w:noProof/>
              <w:color w:val="000000"/>
              <w:sz w:val="12"/>
              <w:szCs w:val="12"/>
            </w:rPr>
            <w:t>213 837 192</w:t>
          </w:r>
        </w:p>
        <w:p w:rsidR="00B4748E" w:rsidRPr="00175F0E" w:rsidRDefault="00B4748E" w:rsidP="00EE1CF0">
          <w:pPr>
            <w:pStyle w:val="Rodap"/>
            <w:spacing w:before="0"/>
            <w:jc w:val="right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Zeferino Brandão · 2005-240 Santarém · Tel. 243 323 976 · </w:t>
          </w:r>
          <w:proofErr w:type="gramStart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>Fax</w:t>
          </w:r>
          <w:proofErr w:type="gramEnd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243 323 289</w:t>
          </w:r>
        </w:p>
        <w:p w:rsidR="00B4748E" w:rsidRPr="00175F0E" w:rsidRDefault="00B4748E" w:rsidP="00EE1CF0">
          <w:pPr>
            <w:pStyle w:val="Rodap"/>
            <w:spacing w:before="0"/>
            <w:jc w:val="center"/>
            <w:rPr>
              <w:rFonts w:ascii="Microsoft Sans Serif" w:hAnsi="Microsoft Sans Serif" w:cs="Microsoft Sans Serif"/>
              <w:b/>
              <w:sz w:val="12"/>
              <w:szCs w:val="12"/>
            </w:rPr>
          </w:pPr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Rua de Camões, 85 · 2500-174 Caldas da Rainha · Tel. 262 841 981 · </w:t>
          </w:r>
          <w:proofErr w:type="gramStart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>Fax</w:t>
          </w:r>
          <w:proofErr w:type="gramEnd"/>
          <w:r w:rsidRPr="00175F0E">
            <w:rPr>
              <w:rFonts w:ascii="Microsoft Sans Serif" w:hAnsi="Microsoft Sans Serif" w:cs="Microsoft Sans Serif"/>
              <w:b/>
              <w:sz w:val="12"/>
              <w:szCs w:val="12"/>
            </w:rPr>
            <w:t xml:space="preserve"> 262 842 537</w:t>
          </w:r>
        </w:p>
        <w:p w:rsidR="00B4748E" w:rsidRPr="002E2C1E" w:rsidRDefault="00B4748E" w:rsidP="00175F0E">
          <w:pPr>
            <w:pStyle w:val="Rodap"/>
            <w:spacing w:before="0"/>
            <w:jc w:val="right"/>
            <w:rPr>
              <w:rFonts w:ascii="Trebuchet MS" w:hAnsi="Trebuchet MS"/>
              <w:sz w:val="14"/>
              <w:szCs w:val="14"/>
            </w:rPr>
          </w:pPr>
        </w:p>
      </w:tc>
    </w:tr>
  </w:tbl>
  <w:p w:rsidR="00B4748E" w:rsidRPr="002E2C1E" w:rsidRDefault="00B4748E" w:rsidP="007957E8">
    <w:pPr>
      <w:pStyle w:val="Rodap"/>
      <w:spacing w:before="0"/>
      <w:jc w:val="left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7C" w:rsidRDefault="0037107C">
      <w:pPr>
        <w:spacing w:before="0"/>
      </w:pPr>
      <w:r>
        <w:separator/>
      </w:r>
    </w:p>
  </w:footnote>
  <w:footnote w:type="continuationSeparator" w:id="0">
    <w:p w:rsidR="0037107C" w:rsidRDefault="003710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8E" w:rsidRDefault="00B4748E" w:rsidP="009F2852">
    <w:pPr>
      <w:pStyle w:val="Cabealho"/>
      <w:jc w:val="center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-363855</wp:posOffset>
          </wp:positionV>
          <wp:extent cx="2533650" cy="990600"/>
          <wp:effectExtent l="19050" t="0" r="0" b="0"/>
          <wp:wrapTight wrapText="bothSides">
            <wp:wrapPolygon edited="0">
              <wp:start x="-162" y="0"/>
              <wp:lineTo x="-162" y="21185"/>
              <wp:lineTo x="21600" y="21185"/>
              <wp:lineTo x="21600" y="0"/>
              <wp:lineTo x="-162" y="0"/>
            </wp:wrapPolygon>
          </wp:wrapTight>
          <wp:docPr id="2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18C"/>
    <w:multiLevelType w:val="hybridMultilevel"/>
    <w:tmpl w:val="24B48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83A"/>
    <w:multiLevelType w:val="hybridMultilevel"/>
    <w:tmpl w:val="630E69A6"/>
    <w:lvl w:ilvl="0" w:tplc="A5D2F568">
      <w:start w:val="1"/>
      <w:numFmt w:val="decimal"/>
      <w:pStyle w:val="StyleHeading1Centered"/>
      <w:lvlText w:val="%1."/>
      <w:lvlJc w:val="left"/>
      <w:pPr>
        <w:tabs>
          <w:tab w:val="num" w:pos="1077"/>
        </w:tabs>
        <w:ind w:left="107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73777"/>
    <w:rsid w:val="000012F2"/>
    <w:rsid w:val="00003D45"/>
    <w:rsid w:val="000066E0"/>
    <w:rsid w:val="000132F0"/>
    <w:rsid w:val="00014F46"/>
    <w:rsid w:val="0001570F"/>
    <w:rsid w:val="0002159D"/>
    <w:rsid w:val="0003227F"/>
    <w:rsid w:val="00035E4F"/>
    <w:rsid w:val="0003669D"/>
    <w:rsid w:val="00062EF1"/>
    <w:rsid w:val="00066F06"/>
    <w:rsid w:val="000836B7"/>
    <w:rsid w:val="0008388D"/>
    <w:rsid w:val="0009444B"/>
    <w:rsid w:val="00095DB0"/>
    <w:rsid w:val="000971DF"/>
    <w:rsid w:val="00097E9B"/>
    <w:rsid w:val="000A4315"/>
    <w:rsid w:val="000A5170"/>
    <w:rsid w:val="000A77A1"/>
    <w:rsid w:val="000B24BD"/>
    <w:rsid w:val="000D152C"/>
    <w:rsid w:val="000D36F0"/>
    <w:rsid w:val="000E1895"/>
    <w:rsid w:val="0010580D"/>
    <w:rsid w:val="00106139"/>
    <w:rsid w:val="00106F57"/>
    <w:rsid w:val="00112762"/>
    <w:rsid w:val="00113060"/>
    <w:rsid w:val="0013296E"/>
    <w:rsid w:val="001405A0"/>
    <w:rsid w:val="00143A44"/>
    <w:rsid w:val="00143FF1"/>
    <w:rsid w:val="001464FB"/>
    <w:rsid w:val="00154BF4"/>
    <w:rsid w:val="00155D9A"/>
    <w:rsid w:val="001561C8"/>
    <w:rsid w:val="00156894"/>
    <w:rsid w:val="00167FC5"/>
    <w:rsid w:val="001735B7"/>
    <w:rsid w:val="00175F0E"/>
    <w:rsid w:val="00176F59"/>
    <w:rsid w:val="00187971"/>
    <w:rsid w:val="00190BFE"/>
    <w:rsid w:val="00191C6C"/>
    <w:rsid w:val="00195901"/>
    <w:rsid w:val="001A5DC3"/>
    <w:rsid w:val="001A7CD9"/>
    <w:rsid w:val="001C3108"/>
    <w:rsid w:val="001D03DB"/>
    <w:rsid w:val="001D03FD"/>
    <w:rsid w:val="001D1220"/>
    <w:rsid w:val="001E6B4F"/>
    <w:rsid w:val="001F1BE7"/>
    <w:rsid w:val="001F4ACA"/>
    <w:rsid w:val="001F55C4"/>
    <w:rsid w:val="001F6B42"/>
    <w:rsid w:val="0020518A"/>
    <w:rsid w:val="002055E3"/>
    <w:rsid w:val="0020577B"/>
    <w:rsid w:val="00216BD5"/>
    <w:rsid w:val="0022432F"/>
    <w:rsid w:val="00224A12"/>
    <w:rsid w:val="00262638"/>
    <w:rsid w:val="00264320"/>
    <w:rsid w:val="00273777"/>
    <w:rsid w:val="002760D3"/>
    <w:rsid w:val="00294097"/>
    <w:rsid w:val="002A2CEB"/>
    <w:rsid w:val="002A3DFE"/>
    <w:rsid w:val="002B0ADB"/>
    <w:rsid w:val="002C713E"/>
    <w:rsid w:val="002D4E9E"/>
    <w:rsid w:val="002E159B"/>
    <w:rsid w:val="002E1FF3"/>
    <w:rsid w:val="002E2C1E"/>
    <w:rsid w:val="002E3EA1"/>
    <w:rsid w:val="002F5768"/>
    <w:rsid w:val="00301F63"/>
    <w:rsid w:val="00311684"/>
    <w:rsid w:val="00311691"/>
    <w:rsid w:val="00315C22"/>
    <w:rsid w:val="0032070B"/>
    <w:rsid w:val="0032723A"/>
    <w:rsid w:val="0033723D"/>
    <w:rsid w:val="003378AD"/>
    <w:rsid w:val="00341976"/>
    <w:rsid w:val="0034404C"/>
    <w:rsid w:val="003476D8"/>
    <w:rsid w:val="003477E8"/>
    <w:rsid w:val="00356382"/>
    <w:rsid w:val="0037107C"/>
    <w:rsid w:val="00386D01"/>
    <w:rsid w:val="00397AD0"/>
    <w:rsid w:val="003A42BC"/>
    <w:rsid w:val="003B4E34"/>
    <w:rsid w:val="003C2E70"/>
    <w:rsid w:val="003C5AF2"/>
    <w:rsid w:val="003D2AA2"/>
    <w:rsid w:val="003D7384"/>
    <w:rsid w:val="003D77CD"/>
    <w:rsid w:val="003E087A"/>
    <w:rsid w:val="003E505A"/>
    <w:rsid w:val="003E5F52"/>
    <w:rsid w:val="003E7F3B"/>
    <w:rsid w:val="003F6A86"/>
    <w:rsid w:val="003F7DEF"/>
    <w:rsid w:val="004011E4"/>
    <w:rsid w:val="00401F75"/>
    <w:rsid w:val="004021FE"/>
    <w:rsid w:val="004051FF"/>
    <w:rsid w:val="0040789B"/>
    <w:rsid w:val="00420497"/>
    <w:rsid w:val="004226E5"/>
    <w:rsid w:val="0042690B"/>
    <w:rsid w:val="00430C68"/>
    <w:rsid w:val="00445028"/>
    <w:rsid w:val="0044732A"/>
    <w:rsid w:val="00464679"/>
    <w:rsid w:val="00465E82"/>
    <w:rsid w:val="00471C5C"/>
    <w:rsid w:val="0047527D"/>
    <w:rsid w:val="004752A3"/>
    <w:rsid w:val="00477689"/>
    <w:rsid w:val="00490AAB"/>
    <w:rsid w:val="004934A5"/>
    <w:rsid w:val="004953C5"/>
    <w:rsid w:val="004A74DB"/>
    <w:rsid w:val="004B17E1"/>
    <w:rsid w:val="004B1E61"/>
    <w:rsid w:val="004B303F"/>
    <w:rsid w:val="004B695D"/>
    <w:rsid w:val="004C33B3"/>
    <w:rsid w:val="004D0E33"/>
    <w:rsid w:val="004D71C5"/>
    <w:rsid w:val="004E08F6"/>
    <w:rsid w:val="004E5798"/>
    <w:rsid w:val="004F06CE"/>
    <w:rsid w:val="004F6AE8"/>
    <w:rsid w:val="004F6C01"/>
    <w:rsid w:val="0050316F"/>
    <w:rsid w:val="00516CE0"/>
    <w:rsid w:val="00516CE1"/>
    <w:rsid w:val="00521A5F"/>
    <w:rsid w:val="00522712"/>
    <w:rsid w:val="00527597"/>
    <w:rsid w:val="00536C8E"/>
    <w:rsid w:val="0053704C"/>
    <w:rsid w:val="0054248A"/>
    <w:rsid w:val="0054312F"/>
    <w:rsid w:val="00545CDD"/>
    <w:rsid w:val="005507ED"/>
    <w:rsid w:val="005552E2"/>
    <w:rsid w:val="0058298C"/>
    <w:rsid w:val="00597708"/>
    <w:rsid w:val="005A2E35"/>
    <w:rsid w:val="005A6A77"/>
    <w:rsid w:val="005B6D74"/>
    <w:rsid w:val="005C3662"/>
    <w:rsid w:val="005D2288"/>
    <w:rsid w:val="005D4335"/>
    <w:rsid w:val="005E7DBA"/>
    <w:rsid w:val="005F5012"/>
    <w:rsid w:val="005F6E61"/>
    <w:rsid w:val="006040C2"/>
    <w:rsid w:val="00604734"/>
    <w:rsid w:val="00612349"/>
    <w:rsid w:val="00614630"/>
    <w:rsid w:val="00615BC8"/>
    <w:rsid w:val="0062300F"/>
    <w:rsid w:val="00630093"/>
    <w:rsid w:val="006333D0"/>
    <w:rsid w:val="006452ED"/>
    <w:rsid w:val="00654FD9"/>
    <w:rsid w:val="00660C05"/>
    <w:rsid w:val="00690C0A"/>
    <w:rsid w:val="00693C48"/>
    <w:rsid w:val="00694372"/>
    <w:rsid w:val="006C00CA"/>
    <w:rsid w:val="006C0CDA"/>
    <w:rsid w:val="006C134E"/>
    <w:rsid w:val="006C5FC5"/>
    <w:rsid w:val="006E0EAD"/>
    <w:rsid w:val="006E588F"/>
    <w:rsid w:val="006E58F2"/>
    <w:rsid w:val="006E7F37"/>
    <w:rsid w:val="006F2BBC"/>
    <w:rsid w:val="00701E00"/>
    <w:rsid w:val="00730430"/>
    <w:rsid w:val="007407AA"/>
    <w:rsid w:val="00752B68"/>
    <w:rsid w:val="00754598"/>
    <w:rsid w:val="00756032"/>
    <w:rsid w:val="00757899"/>
    <w:rsid w:val="007656DE"/>
    <w:rsid w:val="00772E9A"/>
    <w:rsid w:val="00785ED6"/>
    <w:rsid w:val="00791FB2"/>
    <w:rsid w:val="007957E8"/>
    <w:rsid w:val="007A07DF"/>
    <w:rsid w:val="007A323D"/>
    <w:rsid w:val="007A5FD4"/>
    <w:rsid w:val="007A61B0"/>
    <w:rsid w:val="007B087C"/>
    <w:rsid w:val="007B0EF8"/>
    <w:rsid w:val="007B35C5"/>
    <w:rsid w:val="007B7EDA"/>
    <w:rsid w:val="007C3A72"/>
    <w:rsid w:val="007C4D00"/>
    <w:rsid w:val="007D02FC"/>
    <w:rsid w:val="007D07B9"/>
    <w:rsid w:val="007E1474"/>
    <w:rsid w:val="007E3946"/>
    <w:rsid w:val="007F0638"/>
    <w:rsid w:val="00802443"/>
    <w:rsid w:val="0080562E"/>
    <w:rsid w:val="008123DE"/>
    <w:rsid w:val="0081354D"/>
    <w:rsid w:val="00814270"/>
    <w:rsid w:val="00826D80"/>
    <w:rsid w:val="008275E4"/>
    <w:rsid w:val="00832B4B"/>
    <w:rsid w:val="00854D47"/>
    <w:rsid w:val="008664F4"/>
    <w:rsid w:val="0087360C"/>
    <w:rsid w:val="00875A76"/>
    <w:rsid w:val="00883E17"/>
    <w:rsid w:val="00890ACB"/>
    <w:rsid w:val="00893187"/>
    <w:rsid w:val="00895B77"/>
    <w:rsid w:val="008976FC"/>
    <w:rsid w:val="008B6161"/>
    <w:rsid w:val="008C19DC"/>
    <w:rsid w:val="008C5E90"/>
    <w:rsid w:val="008D317F"/>
    <w:rsid w:val="008E426B"/>
    <w:rsid w:val="008F0CCF"/>
    <w:rsid w:val="008F2007"/>
    <w:rsid w:val="008F7852"/>
    <w:rsid w:val="0091136B"/>
    <w:rsid w:val="0092050D"/>
    <w:rsid w:val="0092206E"/>
    <w:rsid w:val="00923987"/>
    <w:rsid w:val="00924204"/>
    <w:rsid w:val="009326BC"/>
    <w:rsid w:val="009425ED"/>
    <w:rsid w:val="00947D02"/>
    <w:rsid w:val="00971CAE"/>
    <w:rsid w:val="00976410"/>
    <w:rsid w:val="00976AF3"/>
    <w:rsid w:val="009845C0"/>
    <w:rsid w:val="00985B87"/>
    <w:rsid w:val="009924BF"/>
    <w:rsid w:val="00993D27"/>
    <w:rsid w:val="009950B3"/>
    <w:rsid w:val="009A1A74"/>
    <w:rsid w:val="009B4654"/>
    <w:rsid w:val="009C2B8A"/>
    <w:rsid w:val="009C31C2"/>
    <w:rsid w:val="009C3E22"/>
    <w:rsid w:val="009C4532"/>
    <w:rsid w:val="009D603A"/>
    <w:rsid w:val="009F2852"/>
    <w:rsid w:val="009F77D0"/>
    <w:rsid w:val="00A03D8A"/>
    <w:rsid w:val="00A070A4"/>
    <w:rsid w:val="00A171EC"/>
    <w:rsid w:val="00A36698"/>
    <w:rsid w:val="00A469AE"/>
    <w:rsid w:val="00A56446"/>
    <w:rsid w:val="00A570E5"/>
    <w:rsid w:val="00A57E3E"/>
    <w:rsid w:val="00A617E7"/>
    <w:rsid w:val="00A71E86"/>
    <w:rsid w:val="00A74DB5"/>
    <w:rsid w:val="00A93F57"/>
    <w:rsid w:val="00AA46B0"/>
    <w:rsid w:val="00AA62B0"/>
    <w:rsid w:val="00AB39F5"/>
    <w:rsid w:val="00AD4611"/>
    <w:rsid w:val="00AD6A28"/>
    <w:rsid w:val="00AE0974"/>
    <w:rsid w:val="00AE3169"/>
    <w:rsid w:val="00B0085F"/>
    <w:rsid w:val="00B01A39"/>
    <w:rsid w:val="00B02AAA"/>
    <w:rsid w:val="00B06E01"/>
    <w:rsid w:val="00B07B0D"/>
    <w:rsid w:val="00B1031D"/>
    <w:rsid w:val="00B12D9A"/>
    <w:rsid w:val="00B13D0F"/>
    <w:rsid w:val="00B25BFE"/>
    <w:rsid w:val="00B30D1E"/>
    <w:rsid w:val="00B43FFC"/>
    <w:rsid w:val="00B45135"/>
    <w:rsid w:val="00B45327"/>
    <w:rsid w:val="00B4748E"/>
    <w:rsid w:val="00B5616D"/>
    <w:rsid w:val="00B742AA"/>
    <w:rsid w:val="00B831BE"/>
    <w:rsid w:val="00B95D36"/>
    <w:rsid w:val="00BA1F24"/>
    <w:rsid w:val="00BA5DE1"/>
    <w:rsid w:val="00BB2540"/>
    <w:rsid w:val="00BC0972"/>
    <w:rsid w:val="00BC3147"/>
    <w:rsid w:val="00BC70E7"/>
    <w:rsid w:val="00BC736F"/>
    <w:rsid w:val="00BD2920"/>
    <w:rsid w:val="00BD41A6"/>
    <w:rsid w:val="00BD7099"/>
    <w:rsid w:val="00BE0F68"/>
    <w:rsid w:val="00BF0ABD"/>
    <w:rsid w:val="00BF180E"/>
    <w:rsid w:val="00C02C84"/>
    <w:rsid w:val="00C41EB0"/>
    <w:rsid w:val="00C51D7A"/>
    <w:rsid w:val="00C53620"/>
    <w:rsid w:val="00C55D58"/>
    <w:rsid w:val="00C60CC6"/>
    <w:rsid w:val="00C666DA"/>
    <w:rsid w:val="00C71218"/>
    <w:rsid w:val="00C7432C"/>
    <w:rsid w:val="00C83751"/>
    <w:rsid w:val="00CA456E"/>
    <w:rsid w:val="00CA718C"/>
    <w:rsid w:val="00CB257C"/>
    <w:rsid w:val="00CB44BF"/>
    <w:rsid w:val="00CB4C58"/>
    <w:rsid w:val="00CC2731"/>
    <w:rsid w:val="00CD44A2"/>
    <w:rsid w:val="00CD4C35"/>
    <w:rsid w:val="00CD60D5"/>
    <w:rsid w:val="00CE3735"/>
    <w:rsid w:val="00D04907"/>
    <w:rsid w:val="00D0678D"/>
    <w:rsid w:val="00D12F83"/>
    <w:rsid w:val="00D15070"/>
    <w:rsid w:val="00D246F8"/>
    <w:rsid w:val="00D25DAB"/>
    <w:rsid w:val="00D3032F"/>
    <w:rsid w:val="00D40C42"/>
    <w:rsid w:val="00D447EA"/>
    <w:rsid w:val="00D44EB7"/>
    <w:rsid w:val="00D5255A"/>
    <w:rsid w:val="00D5360F"/>
    <w:rsid w:val="00D57DE0"/>
    <w:rsid w:val="00D64D0E"/>
    <w:rsid w:val="00D66741"/>
    <w:rsid w:val="00D759E2"/>
    <w:rsid w:val="00D97A02"/>
    <w:rsid w:val="00DC767B"/>
    <w:rsid w:val="00DD2F18"/>
    <w:rsid w:val="00DE1016"/>
    <w:rsid w:val="00DE2E37"/>
    <w:rsid w:val="00DF3932"/>
    <w:rsid w:val="00E031A1"/>
    <w:rsid w:val="00E121E7"/>
    <w:rsid w:val="00E16D96"/>
    <w:rsid w:val="00E27FC7"/>
    <w:rsid w:val="00E35154"/>
    <w:rsid w:val="00E35349"/>
    <w:rsid w:val="00E3732F"/>
    <w:rsid w:val="00E4020B"/>
    <w:rsid w:val="00E4297C"/>
    <w:rsid w:val="00E60440"/>
    <w:rsid w:val="00E60CBC"/>
    <w:rsid w:val="00E67E02"/>
    <w:rsid w:val="00E70683"/>
    <w:rsid w:val="00E7270F"/>
    <w:rsid w:val="00E8510C"/>
    <w:rsid w:val="00E90EA7"/>
    <w:rsid w:val="00EA62AF"/>
    <w:rsid w:val="00EC38EC"/>
    <w:rsid w:val="00ED60FD"/>
    <w:rsid w:val="00ED7A96"/>
    <w:rsid w:val="00EE1CF0"/>
    <w:rsid w:val="00EE5F5C"/>
    <w:rsid w:val="00EF130B"/>
    <w:rsid w:val="00EF2FF7"/>
    <w:rsid w:val="00F040CC"/>
    <w:rsid w:val="00F107A3"/>
    <w:rsid w:val="00F22671"/>
    <w:rsid w:val="00F23ACE"/>
    <w:rsid w:val="00F2457F"/>
    <w:rsid w:val="00F24B11"/>
    <w:rsid w:val="00F309AA"/>
    <w:rsid w:val="00F309BB"/>
    <w:rsid w:val="00F30A54"/>
    <w:rsid w:val="00F31C9E"/>
    <w:rsid w:val="00F37402"/>
    <w:rsid w:val="00F41461"/>
    <w:rsid w:val="00F447C3"/>
    <w:rsid w:val="00F45E18"/>
    <w:rsid w:val="00F51D90"/>
    <w:rsid w:val="00F557A3"/>
    <w:rsid w:val="00F56B62"/>
    <w:rsid w:val="00F64503"/>
    <w:rsid w:val="00F64B65"/>
    <w:rsid w:val="00F65FCC"/>
    <w:rsid w:val="00F725B1"/>
    <w:rsid w:val="00F73DA0"/>
    <w:rsid w:val="00F80E4C"/>
    <w:rsid w:val="00F97BC4"/>
    <w:rsid w:val="00FA1311"/>
    <w:rsid w:val="00FA421F"/>
    <w:rsid w:val="00FB15AA"/>
    <w:rsid w:val="00FB3288"/>
    <w:rsid w:val="00FC3787"/>
    <w:rsid w:val="00FC6EC5"/>
    <w:rsid w:val="00FC759A"/>
    <w:rsid w:val="00FC7DF6"/>
    <w:rsid w:val="00FD147E"/>
    <w:rsid w:val="00FD3773"/>
    <w:rsid w:val="00FD61DB"/>
    <w:rsid w:val="00FE0001"/>
    <w:rsid w:val="00FE1F04"/>
    <w:rsid w:val="00FF09E9"/>
    <w:rsid w:val="00FF0EC1"/>
    <w:rsid w:val="00FF10AD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D"/>
    <w:pPr>
      <w:spacing w:before="240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B5616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752B68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ahoma" w:hAnsi="Tahoma"/>
      <w:sz w:val="20"/>
      <w:szCs w:val="20"/>
    </w:rPr>
  </w:style>
  <w:style w:type="paragraph" w:customStyle="1" w:styleId="StyleHeading1Centered">
    <w:name w:val="Style Heading 1 + Centered"/>
    <w:basedOn w:val="Ttulo1"/>
    <w:rsid w:val="00B5616D"/>
    <w:pPr>
      <w:numPr>
        <w:numId w:val="1"/>
      </w:numPr>
      <w:spacing w:after="120" w:line="360" w:lineRule="auto"/>
      <w:ind w:left="431" w:hanging="431"/>
      <w:jc w:val="center"/>
    </w:pPr>
    <w:rPr>
      <w:rFonts w:cs="Times New Roman"/>
      <w:caps/>
      <w:sz w:val="22"/>
      <w:szCs w:val="20"/>
    </w:rPr>
  </w:style>
  <w:style w:type="paragraph" w:styleId="Mapadodocumento">
    <w:name w:val="Document Map"/>
    <w:basedOn w:val="Normal"/>
    <w:semiHidden/>
    <w:rsid w:val="00B561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B5616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rsid w:val="00B5616D"/>
    <w:rPr>
      <w:rFonts w:ascii="Arial" w:hAnsi="Arial"/>
      <w:sz w:val="22"/>
      <w:szCs w:val="24"/>
    </w:rPr>
  </w:style>
  <w:style w:type="paragraph" w:styleId="Rodap">
    <w:name w:val="footer"/>
    <w:aliases w:val="Footer1"/>
    <w:basedOn w:val="Normal"/>
    <w:rsid w:val="00B5616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aliases w:val="Footer1 Carácter1"/>
    <w:rsid w:val="00B5616D"/>
    <w:rPr>
      <w:rFonts w:ascii="Arial" w:hAnsi="Arial"/>
      <w:sz w:val="22"/>
      <w:szCs w:val="24"/>
    </w:rPr>
  </w:style>
  <w:style w:type="character" w:styleId="Refdecomentrio">
    <w:name w:val="annotation reference"/>
    <w:semiHidden/>
    <w:rsid w:val="00B5616D"/>
    <w:rPr>
      <w:sz w:val="16"/>
      <w:szCs w:val="16"/>
    </w:rPr>
  </w:style>
  <w:style w:type="paragraph" w:styleId="Textodecomentrio">
    <w:name w:val="annotation text"/>
    <w:basedOn w:val="Normal"/>
    <w:semiHidden/>
    <w:rsid w:val="00B5616D"/>
    <w:rPr>
      <w:sz w:val="20"/>
      <w:szCs w:val="20"/>
    </w:rPr>
  </w:style>
  <w:style w:type="character" w:customStyle="1" w:styleId="TextodecomentrioCarcter">
    <w:name w:val="Texto de comentário Carácter"/>
    <w:rsid w:val="00B5616D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rsid w:val="00B5616D"/>
    <w:rPr>
      <w:b/>
      <w:bCs/>
    </w:rPr>
  </w:style>
  <w:style w:type="character" w:customStyle="1" w:styleId="AssuntodecomentrioCarcter">
    <w:name w:val="Assunto de comentário Carácter"/>
    <w:rsid w:val="00B5616D"/>
    <w:rPr>
      <w:rFonts w:ascii="Arial" w:hAnsi="Arial"/>
      <w:b/>
      <w:bCs/>
    </w:rPr>
  </w:style>
  <w:style w:type="paragraph" w:styleId="Textodebalo">
    <w:name w:val="Balloon Text"/>
    <w:basedOn w:val="Normal"/>
    <w:rsid w:val="00B561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sid w:val="00B5616D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semiHidden/>
    <w:rsid w:val="00B5616D"/>
  </w:style>
  <w:style w:type="paragraph" w:customStyle="1" w:styleId="Paula">
    <w:name w:val="Paula"/>
    <w:basedOn w:val="Normal"/>
    <w:rsid w:val="00F37402"/>
    <w:pPr>
      <w:widowControl w:val="0"/>
      <w:spacing w:before="0" w:line="300" w:lineRule="atLeast"/>
    </w:pPr>
    <w:rPr>
      <w:rFonts w:ascii="NewCenturySchlbk" w:hAnsi="NewCenturySchlbk"/>
      <w:szCs w:val="20"/>
    </w:rPr>
  </w:style>
  <w:style w:type="paragraph" w:customStyle="1" w:styleId="NormalMCB">
    <w:name w:val="NormalMCB"/>
    <w:basedOn w:val="Normal"/>
    <w:rsid w:val="007B0EF8"/>
    <w:pPr>
      <w:spacing w:before="0" w:line="360" w:lineRule="auto"/>
    </w:pPr>
    <w:rPr>
      <w:rFonts w:ascii="Tahoma" w:hAnsi="Tahoma"/>
      <w:sz w:val="20"/>
    </w:rPr>
  </w:style>
  <w:style w:type="paragraph" w:customStyle="1" w:styleId="Corpodetexto22">
    <w:name w:val="Corpo de texto 22"/>
    <w:basedOn w:val="Normal"/>
    <w:rsid w:val="00014F46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ahoma" w:hAnsi="Tahoma"/>
      <w:sz w:val="20"/>
      <w:szCs w:val="20"/>
    </w:rPr>
  </w:style>
  <w:style w:type="paragraph" w:customStyle="1" w:styleId="Corpodetexto210">
    <w:name w:val="Corpo de texto 21"/>
    <w:basedOn w:val="Normal"/>
    <w:rsid w:val="00F23ACE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ahoma" w:hAnsi="Tahoma"/>
      <w:sz w:val="20"/>
      <w:szCs w:val="20"/>
    </w:rPr>
  </w:style>
  <w:style w:type="paragraph" w:styleId="ndice6">
    <w:name w:val="toc 6"/>
    <w:basedOn w:val="Normal"/>
    <w:next w:val="Normal"/>
    <w:autoRedefine/>
    <w:semiHidden/>
    <w:rsid w:val="002F5768"/>
    <w:pPr>
      <w:spacing w:before="0"/>
      <w:ind w:left="1200"/>
      <w:jc w:val="left"/>
    </w:pPr>
    <w:rPr>
      <w:rFonts w:ascii="Times New Roman" w:hAnsi="Times New Roman"/>
      <w:sz w:val="24"/>
      <w:szCs w:val="21"/>
    </w:rPr>
  </w:style>
  <w:style w:type="paragraph" w:styleId="Corpodetexto">
    <w:name w:val="Body Text"/>
    <w:aliases w:val="corpo de texto hps"/>
    <w:basedOn w:val="Normal"/>
    <w:link w:val="CorpodetextoCarcter"/>
    <w:semiHidden/>
    <w:rsid w:val="00D57DE0"/>
    <w:pPr>
      <w:spacing w:before="0" w:after="120"/>
    </w:pPr>
    <w:rPr>
      <w:rFonts w:ascii="Comic Sans MS" w:hAnsi="Comic Sans MS"/>
      <w:sz w:val="24"/>
    </w:rPr>
  </w:style>
  <w:style w:type="character" w:customStyle="1" w:styleId="CorpodetextoCarcter">
    <w:name w:val="Corpo de texto Carácter"/>
    <w:aliases w:val="corpo de texto hps Carácter"/>
    <w:link w:val="Corpodetexto"/>
    <w:semiHidden/>
    <w:rsid w:val="00D57DE0"/>
    <w:rPr>
      <w:rFonts w:ascii="Comic Sans MS" w:hAnsi="Comic Sans MS"/>
      <w:sz w:val="24"/>
      <w:szCs w:val="24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5A6A77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5A6A77"/>
    <w:rPr>
      <w:rFonts w:ascii="Arial" w:hAnsi="Arial"/>
      <w:sz w:val="22"/>
      <w:szCs w:val="24"/>
    </w:rPr>
  </w:style>
  <w:style w:type="character" w:styleId="Hiperligao">
    <w:name w:val="Hyperlink"/>
    <w:semiHidden/>
    <w:unhideWhenUsed/>
    <w:rsid w:val="009F28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3534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info">
    <w:name w:val="info"/>
    <w:basedOn w:val="Normal"/>
    <w:rsid w:val="00315C22"/>
    <w:pPr>
      <w:spacing w:before="120"/>
    </w:pPr>
    <w:rPr>
      <w:rFonts w:ascii="Times" w:hAnsi="Times"/>
      <w:szCs w:val="20"/>
    </w:rPr>
  </w:style>
  <w:style w:type="paragraph" w:customStyle="1" w:styleId="Avanodecorpodetexto21">
    <w:name w:val="Avanço de corpo de texto 21"/>
    <w:basedOn w:val="Normal"/>
    <w:rsid w:val="00315C22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sz w:val="24"/>
      <w:lang w:eastAsia="ar-SA"/>
    </w:rPr>
  </w:style>
  <w:style w:type="table" w:styleId="Tabelacomgrelha">
    <w:name w:val="Table Grid"/>
    <w:basedOn w:val="Tabelanormal"/>
    <w:uiPriority w:val="59"/>
    <w:rsid w:val="0079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1267-1DAC-4A14-8040-084CD751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3851</Words>
  <Characters>20800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F</vt:lpstr>
    </vt:vector>
  </TitlesOfParts>
  <Company/>
  <LinksUpToDate>false</LinksUpToDate>
  <CharactersWithSpaces>24602</CharactersWithSpaces>
  <SharedDoc>false</SharedDoc>
  <HLinks>
    <vt:vector size="6" baseType="variant">
      <vt:variant>
        <vt:i4>2490401</vt:i4>
      </vt:variant>
      <vt:variant>
        <vt:i4>5</vt:i4>
      </vt:variant>
      <vt:variant>
        <vt:i4>0</vt:i4>
      </vt:variant>
      <vt:variant>
        <vt:i4>5</vt:i4>
      </vt:variant>
      <vt:variant>
        <vt:lpwstr>http://www.portugal.gov.pt/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F</dc:title>
  <dc:creator>Ana Catarina Texugo</dc:creator>
  <cp:lastModifiedBy>lidia.lourenco</cp:lastModifiedBy>
  <cp:revision>2</cp:revision>
  <cp:lastPrinted>2013-04-29T17:20:00Z</cp:lastPrinted>
  <dcterms:created xsi:type="dcterms:W3CDTF">2016-06-15T13:01:00Z</dcterms:created>
  <dcterms:modified xsi:type="dcterms:W3CDTF">2016-06-15T13:01:00Z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DocID">
    <vt:lpwstr>890868</vt:lpwstr>
  </property>
  <property fmtid="{D5CDD505-2E9C-101B-9397-08002B2CF9AE}" pid="3" name="FileDoc_DocFileID">
    <vt:lpwstr>1073822</vt:lpwstr>
  </property>
</Properties>
</file>