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FCC" w:rsidRDefault="00671FCC">
      <w:pPr>
        <w:spacing w:after="120"/>
        <w:jc w:val="center"/>
        <w:rPr>
          <w:b/>
          <w:sz w:val="18"/>
          <w:szCs w:val="18"/>
        </w:rPr>
      </w:pPr>
    </w:p>
    <w:p w:rsidR="00F22671" w:rsidRPr="00522712" w:rsidRDefault="008405E4">
      <w:pPr>
        <w:spacing w:after="120"/>
        <w:jc w:val="center"/>
        <w:rPr>
          <w:b/>
          <w:sz w:val="18"/>
          <w:szCs w:val="18"/>
        </w:rPr>
      </w:pPr>
      <w:r>
        <w:rPr>
          <w:b/>
          <w:sz w:val="18"/>
          <w:szCs w:val="18"/>
        </w:rPr>
        <w:t>DECLARAÇÃO</w:t>
      </w:r>
      <w:r w:rsidR="00FC6EC5" w:rsidRPr="006E7F37">
        <w:rPr>
          <w:b/>
          <w:sz w:val="18"/>
          <w:szCs w:val="18"/>
        </w:rPr>
        <w:t xml:space="preserve"> DE </w:t>
      </w:r>
      <w:r w:rsidR="003B4E34" w:rsidRPr="006E7F37">
        <w:rPr>
          <w:b/>
          <w:sz w:val="18"/>
          <w:szCs w:val="18"/>
        </w:rPr>
        <w:t>I</w:t>
      </w:r>
      <w:r w:rsidR="00FC6EC5" w:rsidRPr="006E7F37">
        <w:rPr>
          <w:b/>
          <w:sz w:val="18"/>
          <w:szCs w:val="18"/>
        </w:rPr>
        <w:t xml:space="preserve">MPACTE </w:t>
      </w:r>
      <w:r w:rsidR="003B4E34" w:rsidRPr="006E7F37">
        <w:rPr>
          <w:b/>
          <w:sz w:val="18"/>
          <w:szCs w:val="18"/>
        </w:rPr>
        <w:t>A</w:t>
      </w:r>
      <w:r w:rsidR="00FC6EC5" w:rsidRPr="006E7F37">
        <w:rPr>
          <w:b/>
          <w:sz w:val="18"/>
          <w:szCs w:val="18"/>
        </w:rPr>
        <w:t>MBIENTAL</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400"/>
        <w:gridCol w:w="1961"/>
        <w:gridCol w:w="439"/>
        <w:gridCol w:w="2400"/>
      </w:tblGrid>
      <w:tr w:rsidR="003B4E34" w:rsidRPr="00522712">
        <w:trPr>
          <w:trHeight w:val="284"/>
        </w:trPr>
        <w:tc>
          <w:tcPr>
            <w:tcW w:w="9720" w:type="dxa"/>
            <w:gridSpan w:val="5"/>
            <w:tcBorders>
              <w:bottom w:val="single" w:sz="4" w:space="0" w:color="auto"/>
            </w:tcBorders>
            <w:shd w:val="clear" w:color="auto" w:fill="D6E3BC"/>
            <w:vAlign w:val="center"/>
          </w:tcPr>
          <w:p w:rsidR="003B4E34" w:rsidRPr="00522712" w:rsidRDefault="003B4E34" w:rsidP="001F1BE7">
            <w:pPr>
              <w:spacing w:before="120" w:after="120"/>
              <w:jc w:val="center"/>
              <w:rPr>
                <w:rFonts w:cs="Arial"/>
                <w:sz w:val="18"/>
                <w:szCs w:val="18"/>
              </w:rPr>
            </w:pPr>
            <w:r w:rsidRPr="00522712">
              <w:rPr>
                <w:rFonts w:cs="Arial"/>
                <w:b/>
                <w:sz w:val="18"/>
                <w:szCs w:val="18"/>
              </w:rPr>
              <w:t>Identificação</w:t>
            </w:r>
          </w:p>
        </w:tc>
      </w:tr>
      <w:tr w:rsidR="003B4E34" w:rsidRPr="00522712" w:rsidTr="002E1FF3">
        <w:trPr>
          <w:trHeight w:val="295"/>
        </w:trPr>
        <w:tc>
          <w:tcPr>
            <w:tcW w:w="2520" w:type="dxa"/>
            <w:tcBorders>
              <w:bottom w:val="single" w:sz="4" w:space="0" w:color="auto"/>
            </w:tcBorders>
            <w:shd w:val="clear" w:color="auto" w:fill="D9D9D9"/>
            <w:vAlign w:val="center"/>
          </w:tcPr>
          <w:p w:rsidR="003B4E34" w:rsidRPr="00522712" w:rsidRDefault="003B4E34" w:rsidP="001F1BE7">
            <w:pPr>
              <w:spacing w:before="120" w:after="120"/>
              <w:jc w:val="left"/>
              <w:rPr>
                <w:rFonts w:cs="Arial"/>
                <w:b/>
                <w:sz w:val="18"/>
                <w:szCs w:val="18"/>
              </w:rPr>
            </w:pPr>
            <w:r w:rsidRPr="00522712">
              <w:rPr>
                <w:rFonts w:cs="Arial"/>
                <w:b/>
                <w:sz w:val="18"/>
                <w:szCs w:val="18"/>
              </w:rPr>
              <w:t xml:space="preserve">Designação do </w:t>
            </w:r>
            <w:r w:rsidR="00F24B11" w:rsidRPr="00522712">
              <w:rPr>
                <w:rFonts w:cs="Arial"/>
                <w:b/>
                <w:sz w:val="18"/>
                <w:szCs w:val="18"/>
              </w:rPr>
              <w:t>Projeto</w:t>
            </w:r>
            <w:r w:rsidRPr="00522712">
              <w:rPr>
                <w:rFonts w:cs="Arial"/>
                <w:b/>
                <w:sz w:val="18"/>
                <w:szCs w:val="18"/>
              </w:rPr>
              <w:t>:</w:t>
            </w:r>
          </w:p>
        </w:tc>
        <w:tc>
          <w:tcPr>
            <w:tcW w:w="7200" w:type="dxa"/>
            <w:gridSpan w:val="4"/>
            <w:vAlign w:val="center"/>
          </w:tcPr>
          <w:p w:rsidR="00E35349" w:rsidRPr="00522712" w:rsidRDefault="00B13017" w:rsidP="00A50959">
            <w:pPr>
              <w:spacing w:before="120" w:after="120"/>
              <w:rPr>
                <w:rFonts w:cs="Arial"/>
                <w:sz w:val="18"/>
                <w:szCs w:val="18"/>
              </w:rPr>
            </w:pPr>
            <w:r>
              <w:rPr>
                <w:rFonts w:cs="Arial"/>
                <w:sz w:val="18"/>
                <w:szCs w:val="18"/>
              </w:rPr>
              <w:t xml:space="preserve">Ampliação da </w:t>
            </w:r>
            <w:r w:rsidR="00A50959">
              <w:rPr>
                <w:rFonts w:cs="Arial"/>
                <w:sz w:val="18"/>
                <w:szCs w:val="18"/>
              </w:rPr>
              <w:t>Pedreira Chainça nº 5</w:t>
            </w:r>
            <w:r w:rsidR="007576E7">
              <w:rPr>
                <w:rFonts w:cs="Arial"/>
                <w:sz w:val="18"/>
                <w:szCs w:val="18"/>
              </w:rPr>
              <w:t xml:space="preserve">             </w:t>
            </w:r>
          </w:p>
        </w:tc>
      </w:tr>
      <w:tr w:rsidR="003B4E34" w:rsidRPr="00522712" w:rsidTr="002E1FF3">
        <w:trPr>
          <w:trHeight w:val="292"/>
        </w:trPr>
        <w:tc>
          <w:tcPr>
            <w:tcW w:w="2520" w:type="dxa"/>
            <w:tcBorders>
              <w:bottom w:val="single" w:sz="4" w:space="0" w:color="auto"/>
            </w:tcBorders>
            <w:shd w:val="clear" w:color="auto" w:fill="D9D9D9"/>
            <w:vAlign w:val="center"/>
          </w:tcPr>
          <w:p w:rsidR="003B4E34" w:rsidRPr="00522712" w:rsidRDefault="003B4E34" w:rsidP="001F1BE7">
            <w:pPr>
              <w:spacing w:before="120" w:after="120"/>
              <w:jc w:val="left"/>
              <w:rPr>
                <w:rFonts w:cs="Arial"/>
                <w:b/>
                <w:sz w:val="18"/>
                <w:szCs w:val="18"/>
              </w:rPr>
            </w:pPr>
            <w:r w:rsidRPr="00522712">
              <w:rPr>
                <w:rFonts w:cs="Arial"/>
                <w:b/>
                <w:sz w:val="18"/>
                <w:szCs w:val="18"/>
              </w:rPr>
              <w:t xml:space="preserve">Tipologia de </w:t>
            </w:r>
            <w:r w:rsidR="00F24B11" w:rsidRPr="00522712">
              <w:rPr>
                <w:rFonts w:cs="Arial"/>
                <w:b/>
                <w:sz w:val="18"/>
                <w:szCs w:val="18"/>
              </w:rPr>
              <w:t>Projeto</w:t>
            </w:r>
            <w:r w:rsidRPr="00522712">
              <w:rPr>
                <w:rFonts w:cs="Arial"/>
                <w:b/>
                <w:sz w:val="18"/>
                <w:szCs w:val="18"/>
              </w:rPr>
              <w:t>:</w:t>
            </w:r>
          </w:p>
        </w:tc>
        <w:tc>
          <w:tcPr>
            <w:tcW w:w="2400" w:type="dxa"/>
            <w:vAlign w:val="center"/>
          </w:tcPr>
          <w:p w:rsidR="009C4532" w:rsidRPr="00522712" w:rsidRDefault="00B94D9C" w:rsidP="006F5C9A">
            <w:pPr>
              <w:spacing w:before="120" w:after="120"/>
              <w:jc w:val="center"/>
              <w:rPr>
                <w:rFonts w:cs="Arial"/>
                <w:sz w:val="18"/>
                <w:szCs w:val="18"/>
                <w:highlight w:val="yellow"/>
              </w:rPr>
            </w:pPr>
            <w:r>
              <w:rPr>
                <w:rFonts w:ascii="Calibri" w:hAnsi="Calibri" w:cs="Arial"/>
                <w:sz w:val="20"/>
                <w:szCs w:val="20"/>
              </w:rPr>
              <w:t xml:space="preserve">Alínea a) do n.º 2 </w:t>
            </w:r>
            <w:r w:rsidR="00C41EB0" w:rsidRPr="00E8182E">
              <w:rPr>
                <w:rFonts w:ascii="Calibri" w:hAnsi="Calibri" w:cs="Arial"/>
                <w:sz w:val="20"/>
                <w:szCs w:val="20"/>
              </w:rPr>
              <w:t xml:space="preserve"> do Anexo </w:t>
            </w:r>
            <w:r>
              <w:rPr>
                <w:rFonts w:ascii="Calibri" w:hAnsi="Calibri" w:cs="Arial"/>
                <w:sz w:val="20"/>
                <w:szCs w:val="20"/>
              </w:rPr>
              <w:t>I</w:t>
            </w:r>
            <w:r w:rsidR="00C41EB0" w:rsidRPr="00E8182E">
              <w:rPr>
                <w:rFonts w:ascii="Calibri" w:hAnsi="Calibri" w:cs="Arial"/>
                <w:sz w:val="20"/>
                <w:szCs w:val="20"/>
              </w:rPr>
              <w:t>I, do Decreto</w:t>
            </w:r>
            <w:r w:rsidR="006F5C9A">
              <w:rPr>
                <w:rFonts w:ascii="Calibri" w:hAnsi="Calibri" w:cs="Arial"/>
                <w:sz w:val="20"/>
                <w:szCs w:val="20"/>
              </w:rPr>
              <w:t>-</w:t>
            </w:r>
            <w:r w:rsidR="00C41EB0" w:rsidRPr="00E8182E">
              <w:rPr>
                <w:rFonts w:ascii="Calibri" w:hAnsi="Calibri" w:cs="Arial"/>
                <w:sz w:val="20"/>
                <w:szCs w:val="20"/>
              </w:rPr>
              <w:t>Lei nº 151-B/2013, de 31 de outubro</w:t>
            </w:r>
          </w:p>
        </w:tc>
        <w:tc>
          <w:tcPr>
            <w:tcW w:w="2400" w:type="dxa"/>
            <w:gridSpan w:val="2"/>
            <w:shd w:val="clear" w:color="auto" w:fill="D9D9D9"/>
            <w:vAlign w:val="center"/>
          </w:tcPr>
          <w:p w:rsidR="003B4E34" w:rsidRPr="00522712" w:rsidRDefault="003B4E34" w:rsidP="00E35349">
            <w:pPr>
              <w:spacing w:before="120" w:after="120"/>
              <w:jc w:val="center"/>
              <w:rPr>
                <w:rFonts w:cs="Arial"/>
                <w:sz w:val="18"/>
                <w:szCs w:val="18"/>
              </w:rPr>
            </w:pPr>
            <w:r w:rsidRPr="00522712">
              <w:rPr>
                <w:rFonts w:cs="Arial"/>
                <w:b/>
                <w:sz w:val="18"/>
                <w:szCs w:val="18"/>
              </w:rPr>
              <w:t>Fase em que se encontra o Projeto:</w:t>
            </w:r>
          </w:p>
        </w:tc>
        <w:tc>
          <w:tcPr>
            <w:tcW w:w="2400" w:type="dxa"/>
            <w:vAlign w:val="center"/>
          </w:tcPr>
          <w:p w:rsidR="00A71E86" w:rsidRPr="00522712" w:rsidRDefault="00264320" w:rsidP="00A71E86">
            <w:pPr>
              <w:spacing w:before="120" w:after="120"/>
              <w:jc w:val="center"/>
              <w:rPr>
                <w:rFonts w:cs="Arial"/>
                <w:sz w:val="18"/>
                <w:szCs w:val="18"/>
              </w:rPr>
            </w:pPr>
            <w:r w:rsidRPr="00C41EB0">
              <w:rPr>
                <w:rFonts w:cs="Arial"/>
                <w:sz w:val="18"/>
                <w:szCs w:val="18"/>
              </w:rPr>
              <w:t>Projeto de E</w:t>
            </w:r>
            <w:r w:rsidR="00465E82" w:rsidRPr="00C41EB0">
              <w:rPr>
                <w:rFonts w:cs="Arial"/>
                <w:sz w:val="18"/>
                <w:szCs w:val="18"/>
              </w:rPr>
              <w:t>xecução</w:t>
            </w:r>
          </w:p>
        </w:tc>
      </w:tr>
      <w:tr w:rsidR="003B4E34" w:rsidRPr="00522712" w:rsidTr="002E1FF3">
        <w:trPr>
          <w:trHeight w:val="415"/>
        </w:trPr>
        <w:tc>
          <w:tcPr>
            <w:tcW w:w="2520" w:type="dxa"/>
            <w:tcBorders>
              <w:bottom w:val="single" w:sz="4" w:space="0" w:color="auto"/>
            </w:tcBorders>
            <w:shd w:val="clear" w:color="auto" w:fill="D9D9D9"/>
            <w:vAlign w:val="center"/>
          </w:tcPr>
          <w:p w:rsidR="003B4E34" w:rsidRPr="00522712" w:rsidRDefault="003B4E34" w:rsidP="001F1BE7">
            <w:pPr>
              <w:spacing w:before="120" w:after="120"/>
              <w:jc w:val="left"/>
              <w:rPr>
                <w:rFonts w:cs="Arial"/>
                <w:b/>
                <w:sz w:val="18"/>
                <w:szCs w:val="18"/>
              </w:rPr>
            </w:pPr>
            <w:r w:rsidRPr="00522712">
              <w:rPr>
                <w:rFonts w:cs="Arial"/>
                <w:b/>
                <w:sz w:val="18"/>
                <w:szCs w:val="18"/>
              </w:rPr>
              <w:t>Localização:</w:t>
            </w:r>
          </w:p>
        </w:tc>
        <w:tc>
          <w:tcPr>
            <w:tcW w:w="7200" w:type="dxa"/>
            <w:gridSpan w:val="4"/>
            <w:vAlign w:val="center"/>
          </w:tcPr>
          <w:p w:rsidR="00E35349" w:rsidRPr="00E35349" w:rsidRDefault="00A50959" w:rsidP="00E35349">
            <w:pPr>
              <w:spacing w:before="120" w:after="120"/>
              <w:jc w:val="center"/>
              <w:rPr>
                <w:rFonts w:cs="Arial"/>
                <w:sz w:val="18"/>
                <w:szCs w:val="18"/>
              </w:rPr>
            </w:pPr>
            <w:r>
              <w:rPr>
                <w:rFonts w:cs="Arial"/>
                <w:sz w:val="18"/>
                <w:szCs w:val="18"/>
              </w:rPr>
              <w:t>Santarém, Pé da Pedreira</w:t>
            </w:r>
          </w:p>
        </w:tc>
      </w:tr>
      <w:tr w:rsidR="003B4E34" w:rsidRPr="0001526A" w:rsidTr="002E1FF3">
        <w:trPr>
          <w:trHeight w:val="292"/>
        </w:trPr>
        <w:tc>
          <w:tcPr>
            <w:tcW w:w="2520" w:type="dxa"/>
            <w:tcBorders>
              <w:bottom w:val="single" w:sz="4" w:space="0" w:color="auto"/>
            </w:tcBorders>
            <w:shd w:val="clear" w:color="auto" w:fill="D9D9D9"/>
            <w:vAlign w:val="center"/>
          </w:tcPr>
          <w:p w:rsidR="003B4E34" w:rsidRPr="00522712" w:rsidRDefault="003B4E34" w:rsidP="001F1BE7">
            <w:pPr>
              <w:spacing w:before="120" w:after="120"/>
              <w:jc w:val="left"/>
              <w:rPr>
                <w:rFonts w:cs="Arial"/>
                <w:b/>
                <w:sz w:val="18"/>
                <w:szCs w:val="18"/>
              </w:rPr>
            </w:pPr>
            <w:r w:rsidRPr="00522712">
              <w:rPr>
                <w:rFonts w:cs="Arial"/>
                <w:b/>
                <w:sz w:val="18"/>
                <w:szCs w:val="18"/>
              </w:rPr>
              <w:t>Proponente:</w:t>
            </w:r>
          </w:p>
        </w:tc>
        <w:tc>
          <w:tcPr>
            <w:tcW w:w="7200" w:type="dxa"/>
            <w:gridSpan w:val="4"/>
            <w:vAlign w:val="center"/>
          </w:tcPr>
          <w:p w:rsidR="00E35349" w:rsidRPr="0001526A" w:rsidRDefault="00A50959" w:rsidP="00E35349">
            <w:pPr>
              <w:spacing w:before="120" w:after="120"/>
              <w:jc w:val="center"/>
              <w:rPr>
                <w:rFonts w:cs="Arial"/>
                <w:sz w:val="18"/>
                <w:szCs w:val="18"/>
              </w:rPr>
            </w:pPr>
            <w:r>
              <w:rPr>
                <w:rFonts w:cs="Arial"/>
                <w:sz w:val="18"/>
                <w:szCs w:val="18"/>
              </w:rPr>
              <w:t>CALSAL, Lda.</w:t>
            </w:r>
          </w:p>
        </w:tc>
      </w:tr>
      <w:tr w:rsidR="003B4E34" w:rsidRPr="00522712" w:rsidTr="002E1FF3">
        <w:trPr>
          <w:trHeight w:val="292"/>
        </w:trPr>
        <w:tc>
          <w:tcPr>
            <w:tcW w:w="2520" w:type="dxa"/>
            <w:tcBorders>
              <w:bottom w:val="single" w:sz="4" w:space="0" w:color="auto"/>
            </w:tcBorders>
            <w:shd w:val="clear" w:color="auto" w:fill="D9D9D9"/>
            <w:vAlign w:val="center"/>
          </w:tcPr>
          <w:p w:rsidR="003B4E34" w:rsidRPr="00522712" w:rsidRDefault="003B4E34" w:rsidP="001F1BE7">
            <w:pPr>
              <w:spacing w:before="120" w:after="120"/>
              <w:jc w:val="left"/>
              <w:rPr>
                <w:rFonts w:cs="Arial"/>
                <w:b/>
                <w:sz w:val="18"/>
                <w:szCs w:val="18"/>
              </w:rPr>
            </w:pPr>
            <w:r w:rsidRPr="00522712">
              <w:rPr>
                <w:rFonts w:cs="Arial"/>
                <w:b/>
                <w:sz w:val="18"/>
                <w:szCs w:val="18"/>
              </w:rPr>
              <w:t>Entidade licenciadora:</w:t>
            </w:r>
          </w:p>
        </w:tc>
        <w:tc>
          <w:tcPr>
            <w:tcW w:w="7200" w:type="dxa"/>
            <w:gridSpan w:val="4"/>
            <w:vAlign w:val="center"/>
          </w:tcPr>
          <w:p w:rsidR="00E35349" w:rsidRPr="00E35349" w:rsidRDefault="00A50959" w:rsidP="00E35349">
            <w:pPr>
              <w:spacing w:before="120" w:after="120"/>
              <w:jc w:val="center"/>
              <w:rPr>
                <w:rFonts w:cs="Arial"/>
                <w:sz w:val="18"/>
                <w:szCs w:val="18"/>
              </w:rPr>
            </w:pPr>
            <w:r>
              <w:rPr>
                <w:rFonts w:cs="Arial"/>
                <w:sz w:val="18"/>
                <w:szCs w:val="18"/>
              </w:rPr>
              <w:t>DRE LVT</w:t>
            </w:r>
          </w:p>
        </w:tc>
      </w:tr>
      <w:tr w:rsidR="003B4E34" w:rsidRPr="00522712" w:rsidTr="002E1FF3">
        <w:trPr>
          <w:trHeight w:val="355"/>
        </w:trPr>
        <w:tc>
          <w:tcPr>
            <w:tcW w:w="2520" w:type="dxa"/>
            <w:shd w:val="clear" w:color="auto" w:fill="D9D9D9"/>
            <w:vAlign w:val="center"/>
          </w:tcPr>
          <w:p w:rsidR="003B4E34" w:rsidRPr="00522712" w:rsidRDefault="003B4E34" w:rsidP="001F1BE7">
            <w:pPr>
              <w:spacing w:before="120" w:after="120"/>
              <w:jc w:val="left"/>
              <w:rPr>
                <w:rFonts w:cs="Arial"/>
                <w:b/>
                <w:sz w:val="18"/>
                <w:szCs w:val="18"/>
              </w:rPr>
            </w:pPr>
            <w:r w:rsidRPr="00522712">
              <w:rPr>
                <w:rFonts w:cs="Arial"/>
                <w:b/>
                <w:sz w:val="18"/>
                <w:szCs w:val="18"/>
              </w:rPr>
              <w:t>Autoridade de AIA:</w:t>
            </w:r>
          </w:p>
        </w:tc>
        <w:tc>
          <w:tcPr>
            <w:tcW w:w="4361" w:type="dxa"/>
            <w:gridSpan w:val="2"/>
            <w:vAlign w:val="center"/>
          </w:tcPr>
          <w:p w:rsidR="00E35349" w:rsidRPr="00BC3147" w:rsidRDefault="00C41EB0" w:rsidP="001F1BE7">
            <w:pPr>
              <w:spacing w:before="120" w:after="120"/>
              <w:jc w:val="center"/>
              <w:rPr>
                <w:rFonts w:cs="Arial"/>
                <w:sz w:val="18"/>
                <w:szCs w:val="18"/>
              </w:rPr>
            </w:pPr>
            <w:r>
              <w:rPr>
                <w:rFonts w:cs="Arial"/>
                <w:sz w:val="18"/>
                <w:szCs w:val="18"/>
              </w:rPr>
              <w:t>CCDR LVT</w:t>
            </w:r>
          </w:p>
        </w:tc>
        <w:tc>
          <w:tcPr>
            <w:tcW w:w="2839" w:type="dxa"/>
            <w:gridSpan w:val="2"/>
            <w:shd w:val="clear" w:color="auto" w:fill="D9D9D9"/>
            <w:vAlign w:val="center"/>
          </w:tcPr>
          <w:p w:rsidR="003B4E34" w:rsidRPr="00522712" w:rsidRDefault="003B4E34" w:rsidP="001D7922">
            <w:pPr>
              <w:spacing w:before="120" w:after="120"/>
              <w:jc w:val="left"/>
              <w:rPr>
                <w:rFonts w:cs="Arial"/>
                <w:b/>
                <w:sz w:val="18"/>
                <w:szCs w:val="18"/>
                <w:highlight w:val="yellow"/>
              </w:rPr>
            </w:pPr>
            <w:r w:rsidRPr="006452ED">
              <w:rPr>
                <w:rFonts w:cs="Arial"/>
                <w:b/>
                <w:sz w:val="18"/>
                <w:szCs w:val="18"/>
              </w:rPr>
              <w:t>Data:</w:t>
            </w:r>
            <w:r w:rsidR="00B94D9C">
              <w:rPr>
                <w:rFonts w:cs="Arial"/>
                <w:b/>
                <w:sz w:val="18"/>
                <w:szCs w:val="18"/>
              </w:rPr>
              <w:t xml:space="preserve"> </w:t>
            </w:r>
            <w:r w:rsidR="001D7922">
              <w:rPr>
                <w:rFonts w:cs="Arial"/>
                <w:b/>
                <w:sz w:val="18"/>
                <w:szCs w:val="18"/>
              </w:rPr>
              <w:t>9</w:t>
            </w:r>
            <w:r w:rsidR="00A50959">
              <w:rPr>
                <w:rFonts w:cs="Arial"/>
                <w:b/>
                <w:sz w:val="18"/>
                <w:szCs w:val="18"/>
              </w:rPr>
              <w:t>.0</w:t>
            </w:r>
            <w:r w:rsidR="001D7922">
              <w:rPr>
                <w:rFonts w:cs="Arial"/>
                <w:b/>
                <w:sz w:val="18"/>
                <w:szCs w:val="18"/>
              </w:rPr>
              <w:t>2</w:t>
            </w:r>
            <w:r w:rsidR="00A50959">
              <w:rPr>
                <w:rFonts w:cs="Arial"/>
                <w:b/>
                <w:sz w:val="18"/>
                <w:szCs w:val="18"/>
              </w:rPr>
              <w:t>.2015</w:t>
            </w:r>
          </w:p>
        </w:tc>
      </w:tr>
    </w:tbl>
    <w:p w:rsidR="003B4E34" w:rsidRPr="00522712" w:rsidRDefault="003B4E34">
      <w:pPr>
        <w:spacing w:before="0"/>
        <w:jc w:val="center"/>
        <w:rPr>
          <w:sz w:val="18"/>
          <w:szCs w:val="18"/>
          <w:highlight w:val="yellow"/>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200"/>
      </w:tblGrid>
      <w:tr w:rsidR="003B4E34" w:rsidRPr="00522712">
        <w:trPr>
          <w:cantSplit/>
          <w:trHeight w:val="284"/>
        </w:trPr>
        <w:tc>
          <w:tcPr>
            <w:tcW w:w="2520" w:type="dxa"/>
            <w:vMerge w:val="restart"/>
            <w:tcBorders>
              <w:left w:val="single" w:sz="4" w:space="0" w:color="auto"/>
              <w:right w:val="single" w:sz="4" w:space="0" w:color="auto"/>
            </w:tcBorders>
            <w:shd w:val="clear" w:color="auto" w:fill="D6E3BC"/>
            <w:vAlign w:val="center"/>
          </w:tcPr>
          <w:p w:rsidR="003B4E34" w:rsidRPr="00BC3147" w:rsidRDefault="003B4E34" w:rsidP="001F1BE7">
            <w:pPr>
              <w:spacing w:before="120" w:after="120"/>
              <w:jc w:val="center"/>
              <w:rPr>
                <w:rFonts w:cs="Arial"/>
                <w:sz w:val="18"/>
                <w:szCs w:val="18"/>
              </w:rPr>
            </w:pPr>
            <w:r w:rsidRPr="00BC3147">
              <w:rPr>
                <w:rFonts w:cs="Arial"/>
                <w:b/>
                <w:sz w:val="18"/>
                <w:szCs w:val="18"/>
              </w:rPr>
              <w:t>Decisão:</w:t>
            </w:r>
          </w:p>
        </w:tc>
        <w:tc>
          <w:tcPr>
            <w:tcW w:w="7200" w:type="dxa"/>
            <w:tcBorders>
              <w:left w:val="single" w:sz="4" w:space="0" w:color="auto"/>
              <w:right w:val="single" w:sz="4" w:space="0" w:color="auto"/>
            </w:tcBorders>
            <w:vAlign w:val="center"/>
          </w:tcPr>
          <w:p w:rsidR="003B4E34" w:rsidRPr="00BC3147" w:rsidRDefault="00F57F46" w:rsidP="001F1BE7">
            <w:pPr>
              <w:spacing w:before="120" w:after="120"/>
              <w:jc w:val="left"/>
              <w:rPr>
                <w:rFonts w:cs="Arial"/>
                <w:b/>
                <w:sz w:val="18"/>
                <w:szCs w:val="18"/>
              </w:rPr>
            </w:pPr>
            <w:r>
              <w:rPr>
                <w:rFonts w:cs="Arial"/>
                <w:b/>
                <w:noProof/>
                <w:sz w:val="18"/>
                <w:szCs w:val="18"/>
              </w:rPr>
              <w:pict>
                <v:rect id="_x0000_s1026" style="position:absolute;margin-left:9.5pt;margin-top:5.3pt;width:9pt;height:9pt;z-index:251656704;mso-position-horizontal-relative:text;mso-position-vertical-relative:text"/>
              </w:pict>
            </w:r>
            <w:r w:rsidR="003B4E34" w:rsidRPr="00BC3147">
              <w:rPr>
                <w:rFonts w:cs="Arial"/>
                <w:b/>
                <w:sz w:val="18"/>
                <w:szCs w:val="18"/>
              </w:rPr>
              <w:t xml:space="preserve">          Favorável</w:t>
            </w:r>
          </w:p>
        </w:tc>
      </w:tr>
      <w:tr w:rsidR="003B4E34" w:rsidRPr="00522712">
        <w:trPr>
          <w:cantSplit/>
          <w:trHeight w:val="284"/>
        </w:trPr>
        <w:tc>
          <w:tcPr>
            <w:tcW w:w="2520" w:type="dxa"/>
            <w:vMerge/>
            <w:tcBorders>
              <w:top w:val="nil"/>
              <w:left w:val="single" w:sz="4" w:space="0" w:color="auto"/>
              <w:right w:val="single" w:sz="4" w:space="0" w:color="auto"/>
            </w:tcBorders>
            <w:shd w:val="clear" w:color="auto" w:fill="D6E3BC"/>
            <w:vAlign w:val="center"/>
          </w:tcPr>
          <w:p w:rsidR="003B4E34" w:rsidRPr="00BC3147" w:rsidRDefault="003B4E34" w:rsidP="001F1BE7">
            <w:pPr>
              <w:spacing w:before="120" w:after="120"/>
              <w:rPr>
                <w:rFonts w:cs="Arial"/>
                <w:sz w:val="18"/>
                <w:szCs w:val="18"/>
              </w:rPr>
            </w:pPr>
          </w:p>
        </w:tc>
        <w:tc>
          <w:tcPr>
            <w:tcW w:w="7200" w:type="dxa"/>
            <w:tcBorders>
              <w:left w:val="single" w:sz="4" w:space="0" w:color="auto"/>
              <w:right w:val="single" w:sz="4" w:space="0" w:color="auto"/>
            </w:tcBorders>
            <w:vAlign w:val="center"/>
          </w:tcPr>
          <w:p w:rsidR="003B4E34" w:rsidRPr="00BC3147" w:rsidRDefault="00F57F46" w:rsidP="001F1BE7">
            <w:pPr>
              <w:spacing w:before="120" w:after="120"/>
              <w:jc w:val="left"/>
              <w:rPr>
                <w:rFonts w:cs="Arial"/>
                <w:b/>
                <w:sz w:val="18"/>
                <w:szCs w:val="18"/>
              </w:rPr>
            </w:pPr>
            <w:r>
              <w:rPr>
                <w:rFonts w:cs="Arial"/>
                <w:b/>
                <w:noProof/>
                <w:sz w:val="18"/>
                <w:szCs w:val="18"/>
              </w:rPr>
              <w:pict>
                <v:rect id="_x0000_s1029" style="position:absolute;margin-left:9.65pt;margin-top:6.15pt;width:9pt;height:9pt;z-index:251658752;mso-position-horizontal-relative:text;mso-position-vertical-relative:text" fillcolor="black"/>
              </w:pict>
            </w:r>
            <w:r w:rsidR="003B4E34" w:rsidRPr="00BC3147">
              <w:rPr>
                <w:rFonts w:cs="Arial"/>
                <w:b/>
                <w:sz w:val="18"/>
                <w:szCs w:val="18"/>
              </w:rPr>
              <w:t xml:space="preserve">          Favorável Condicionada</w:t>
            </w:r>
          </w:p>
        </w:tc>
      </w:tr>
      <w:tr w:rsidR="003B4E34" w:rsidRPr="00522712">
        <w:trPr>
          <w:cantSplit/>
          <w:trHeight w:val="284"/>
        </w:trPr>
        <w:tc>
          <w:tcPr>
            <w:tcW w:w="2520" w:type="dxa"/>
            <w:vMerge/>
            <w:tcBorders>
              <w:top w:val="nil"/>
              <w:left w:val="single" w:sz="4" w:space="0" w:color="auto"/>
              <w:right w:val="single" w:sz="4" w:space="0" w:color="auto"/>
            </w:tcBorders>
            <w:shd w:val="clear" w:color="auto" w:fill="D6E3BC"/>
            <w:vAlign w:val="center"/>
          </w:tcPr>
          <w:p w:rsidR="003B4E34" w:rsidRPr="00BC3147" w:rsidRDefault="003B4E34" w:rsidP="001F1BE7">
            <w:pPr>
              <w:spacing w:before="120" w:after="120"/>
              <w:rPr>
                <w:rFonts w:cs="Arial"/>
                <w:sz w:val="18"/>
                <w:szCs w:val="18"/>
              </w:rPr>
            </w:pPr>
          </w:p>
        </w:tc>
        <w:tc>
          <w:tcPr>
            <w:tcW w:w="7200" w:type="dxa"/>
            <w:tcBorders>
              <w:left w:val="single" w:sz="4" w:space="0" w:color="auto"/>
              <w:right w:val="single" w:sz="4" w:space="0" w:color="auto"/>
            </w:tcBorders>
            <w:vAlign w:val="center"/>
          </w:tcPr>
          <w:p w:rsidR="003B4E34" w:rsidRPr="00BC3147" w:rsidRDefault="00F57F46" w:rsidP="001F1BE7">
            <w:pPr>
              <w:spacing w:before="120" w:after="120"/>
              <w:jc w:val="left"/>
              <w:rPr>
                <w:rFonts w:cs="Arial"/>
                <w:b/>
                <w:sz w:val="18"/>
                <w:szCs w:val="18"/>
              </w:rPr>
            </w:pPr>
            <w:r>
              <w:rPr>
                <w:rFonts w:cs="Arial"/>
                <w:b/>
                <w:noProof/>
                <w:sz w:val="18"/>
                <w:szCs w:val="18"/>
              </w:rPr>
              <w:pict>
                <v:rect id="_x0000_s1028" style="position:absolute;margin-left:9.4pt;margin-top:6.65pt;width:9pt;height:9pt;z-index:251657728;mso-position-horizontal-relative:text;mso-position-vertical-relative:text"/>
              </w:pict>
            </w:r>
            <w:r w:rsidR="003B4E34" w:rsidRPr="00BC3147">
              <w:rPr>
                <w:rFonts w:cs="Arial"/>
                <w:b/>
                <w:sz w:val="18"/>
                <w:szCs w:val="18"/>
              </w:rPr>
              <w:t xml:space="preserve">          Desfavorável</w:t>
            </w:r>
          </w:p>
        </w:tc>
      </w:tr>
    </w:tbl>
    <w:p w:rsidR="00895B77" w:rsidRPr="00522712" w:rsidRDefault="00895B77">
      <w:pPr>
        <w:spacing w:before="0"/>
        <w:jc w:val="center"/>
        <w:rPr>
          <w:sz w:val="18"/>
          <w:szCs w:val="18"/>
          <w:highlight w:val="yellow"/>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200"/>
      </w:tblGrid>
      <w:tr w:rsidR="003B4E34" w:rsidRPr="009D0EF4" w:rsidTr="00C51D7A">
        <w:trPr>
          <w:trHeight w:val="415"/>
        </w:trPr>
        <w:tc>
          <w:tcPr>
            <w:tcW w:w="2520" w:type="dxa"/>
            <w:tcBorders>
              <w:top w:val="single" w:sz="4" w:space="0" w:color="auto"/>
              <w:left w:val="single" w:sz="4" w:space="0" w:color="auto"/>
              <w:bottom w:val="single" w:sz="4" w:space="0" w:color="auto"/>
              <w:right w:val="single" w:sz="4" w:space="0" w:color="auto"/>
            </w:tcBorders>
            <w:shd w:val="clear" w:color="auto" w:fill="D6E3BC"/>
            <w:vAlign w:val="center"/>
          </w:tcPr>
          <w:p w:rsidR="003B4E34" w:rsidRPr="009D0EF4" w:rsidRDefault="003B4E34" w:rsidP="006E7F37">
            <w:pPr>
              <w:spacing w:before="120" w:after="120"/>
              <w:jc w:val="center"/>
              <w:rPr>
                <w:rFonts w:asciiTheme="minorHAnsi" w:hAnsiTheme="minorHAnsi" w:cs="Arial"/>
                <w:b/>
                <w:noProof/>
                <w:szCs w:val="22"/>
                <w:highlight w:val="yellow"/>
              </w:rPr>
            </w:pPr>
            <w:r w:rsidRPr="009D0EF4">
              <w:rPr>
                <w:rFonts w:asciiTheme="minorHAnsi" w:hAnsiTheme="minorHAnsi" w:cs="Arial"/>
                <w:b/>
                <w:noProof/>
                <w:szCs w:val="22"/>
              </w:rPr>
              <w:t>Condicionantes da DIA</w:t>
            </w:r>
          </w:p>
        </w:tc>
        <w:tc>
          <w:tcPr>
            <w:tcW w:w="7200" w:type="dxa"/>
            <w:tcBorders>
              <w:top w:val="single" w:sz="4" w:space="0" w:color="auto"/>
              <w:left w:val="single" w:sz="4" w:space="0" w:color="auto"/>
              <w:bottom w:val="single" w:sz="4" w:space="0" w:color="auto"/>
              <w:right w:val="single" w:sz="4" w:space="0" w:color="auto"/>
            </w:tcBorders>
            <w:vAlign w:val="center"/>
          </w:tcPr>
          <w:p w:rsidR="00A50959" w:rsidRPr="00A50959" w:rsidRDefault="00A50959" w:rsidP="00A50959">
            <w:pPr>
              <w:pStyle w:val="Corpodetexto"/>
              <w:numPr>
                <w:ilvl w:val="0"/>
                <w:numId w:val="33"/>
              </w:numPr>
              <w:spacing w:before="120" w:line="360" w:lineRule="auto"/>
              <w:ind w:left="0"/>
              <w:rPr>
                <w:rFonts w:asciiTheme="minorHAnsi" w:hAnsiTheme="minorHAnsi" w:cs="Calibri"/>
                <w:sz w:val="22"/>
                <w:szCs w:val="22"/>
              </w:rPr>
            </w:pPr>
            <w:r w:rsidRPr="00983A26">
              <w:rPr>
                <w:rFonts w:asciiTheme="minorHAnsi" w:hAnsiTheme="minorHAnsi"/>
                <w:sz w:val="22"/>
                <w:szCs w:val="22"/>
              </w:rPr>
              <w:t xml:space="preserve">1- </w:t>
            </w:r>
            <w:r w:rsidRPr="00983A26">
              <w:rPr>
                <w:rFonts w:asciiTheme="minorHAnsi" w:hAnsiTheme="minorHAnsi" w:cs="Calibri"/>
                <w:sz w:val="22"/>
                <w:szCs w:val="22"/>
              </w:rPr>
              <w:t>Reformulação</w:t>
            </w:r>
            <w:r w:rsidRPr="00A50959">
              <w:rPr>
                <w:rFonts w:asciiTheme="minorHAnsi" w:hAnsiTheme="minorHAnsi" w:cs="Calibri"/>
                <w:sz w:val="22"/>
                <w:szCs w:val="22"/>
              </w:rPr>
              <w:t xml:space="preserve"> do Plano de Pedreira, de forma a proceder à substituição do pinheiro-de-Alepo, pelo carvalho-cerquinho, nas plantações propostas no PARP.</w:t>
            </w:r>
          </w:p>
          <w:p w:rsidR="00A50959" w:rsidRPr="00A50959" w:rsidRDefault="00A50959" w:rsidP="00A50959">
            <w:pPr>
              <w:pStyle w:val="Corpodetexto"/>
              <w:numPr>
                <w:ilvl w:val="0"/>
                <w:numId w:val="33"/>
              </w:numPr>
              <w:spacing w:before="120" w:line="360" w:lineRule="auto"/>
              <w:ind w:left="0"/>
              <w:rPr>
                <w:rFonts w:asciiTheme="minorHAnsi" w:hAnsiTheme="minorHAnsi" w:cs="Calibri"/>
                <w:sz w:val="22"/>
                <w:szCs w:val="22"/>
              </w:rPr>
            </w:pPr>
            <w:r w:rsidRPr="00A50959">
              <w:rPr>
                <w:rFonts w:asciiTheme="minorHAnsi" w:hAnsiTheme="minorHAnsi" w:cs="Calibri"/>
                <w:sz w:val="22"/>
                <w:szCs w:val="22"/>
              </w:rPr>
              <w:t xml:space="preserve">2- </w:t>
            </w:r>
            <w:r w:rsidRPr="00A50959">
              <w:rPr>
                <w:rFonts w:asciiTheme="minorHAnsi" w:hAnsiTheme="minorHAnsi"/>
                <w:sz w:val="22"/>
                <w:szCs w:val="22"/>
              </w:rPr>
              <w:t>Efetuar registo fotográfico, topográfico e memória descritiva da ocorrência nº1.</w:t>
            </w:r>
          </w:p>
          <w:p w:rsidR="00F1671C" w:rsidRPr="00A50959" w:rsidRDefault="00A50959" w:rsidP="00A50959">
            <w:pPr>
              <w:pStyle w:val="Corpodetexto"/>
              <w:numPr>
                <w:ilvl w:val="0"/>
                <w:numId w:val="33"/>
              </w:numPr>
              <w:spacing w:before="120" w:line="360" w:lineRule="auto"/>
              <w:ind w:left="0"/>
              <w:rPr>
                <w:rFonts w:asciiTheme="minorHAnsi" w:hAnsiTheme="minorHAnsi" w:cs="Calibri"/>
                <w:szCs w:val="22"/>
              </w:rPr>
            </w:pPr>
            <w:r w:rsidRPr="00A50959">
              <w:rPr>
                <w:rFonts w:asciiTheme="minorHAnsi" w:hAnsiTheme="minorHAnsi"/>
                <w:sz w:val="22"/>
                <w:szCs w:val="22"/>
              </w:rPr>
              <w:t xml:space="preserve">3- Cumprimento das medidas de minimização e dos planos de </w:t>
            </w:r>
            <w:r w:rsidR="001D62DF">
              <w:rPr>
                <w:rFonts w:asciiTheme="minorHAnsi" w:hAnsiTheme="minorHAnsi"/>
                <w:sz w:val="22"/>
                <w:szCs w:val="22"/>
              </w:rPr>
              <w:t>monitorização (qualidade do ar,</w:t>
            </w:r>
            <w:r w:rsidRPr="00A50959">
              <w:rPr>
                <w:rFonts w:asciiTheme="minorHAnsi" w:hAnsiTheme="minorHAnsi"/>
                <w:sz w:val="22"/>
                <w:szCs w:val="22"/>
              </w:rPr>
              <w:t xml:space="preserve"> ruído</w:t>
            </w:r>
            <w:r w:rsidR="001D62DF">
              <w:rPr>
                <w:rFonts w:asciiTheme="minorHAnsi" w:hAnsiTheme="minorHAnsi"/>
                <w:sz w:val="22"/>
                <w:szCs w:val="22"/>
              </w:rPr>
              <w:t xml:space="preserve"> e recursos hídricos subterrâneos</w:t>
            </w:r>
            <w:r w:rsidR="003E45AF">
              <w:rPr>
                <w:rFonts w:asciiTheme="minorHAnsi" w:hAnsiTheme="minorHAnsi"/>
                <w:sz w:val="22"/>
                <w:szCs w:val="22"/>
              </w:rPr>
              <w:t>).</w:t>
            </w:r>
          </w:p>
        </w:tc>
      </w:tr>
    </w:tbl>
    <w:p w:rsidR="00F64503" w:rsidRPr="009D0EF4" w:rsidRDefault="00F64503">
      <w:pPr>
        <w:spacing w:before="0"/>
        <w:jc w:val="center"/>
        <w:rPr>
          <w:rFonts w:asciiTheme="minorHAnsi" w:hAnsiTheme="minorHAnsi"/>
          <w:szCs w:val="22"/>
          <w:highlight w:val="yellow"/>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200"/>
      </w:tblGrid>
      <w:tr w:rsidR="00F64503" w:rsidRPr="009D0EF4" w:rsidTr="00FB15AA">
        <w:trPr>
          <w:trHeight w:val="342"/>
        </w:trPr>
        <w:tc>
          <w:tcPr>
            <w:tcW w:w="2520" w:type="dxa"/>
            <w:tcBorders>
              <w:left w:val="single" w:sz="4" w:space="0" w:color="auto"/>
              <w:right w:val="single" w:sz="4" w:space="0" w:color="auto"/>
            </w:tcBorders>
            <w:shd w:val="clear" w:color="auto" w:fill="D6E3BC"/>
            <w:vAlign w:val="center"/>
          </w:tcPr>
          <w:p w:rsidR="00F64503" w:rsidRPr="009D0EF4" w:rsidRDefault="00791FB2" w:rsidP="00323B75">
            <w:pPr>
              <w:autoSpaceDE w:val="0"/>
              <w:autoSpaceDN w:val="0"/>
              <w:adjustRightInd w:val="0"/>
              <w:spacing w:before="120" w:after="120" w:line="360" w:lineRule="auto"/>
              <w:jc w:val="center"/>
              <w:rPr>
                <w:rFonts w:asciiTheme="minorHAnsi" w:hAnsiTheme="minorHAnsi" w:cs="Arial"/>
                <w:b/>
                <w:szCs w:val="22"/>
              </w:rPr>
            </w:pPr>
            <w:r w:rsidRPr="009D0EF4">
              <w:rPr>
                <w:rFonts w:asciiTheme="minorHAnsi" w:hAnsiTheme="minorHAnsi" w:cs="Arial"/>
                <w:b/>
                <w:szCs w:val="22"/>
              </w:rPr>
              <w:t xml:space="preserve">Elementos a </w:t>
            </w:r>
            <w:r w:rsidR="0060229E" w:rsidRPr="009D0EF4">
              <w:rPr>
                <w:rFonts w:asciiTheme="minorHAnsi" w:hAnsiTheme="minorHAnsi" w:cs="Arial"/>
                <w:b/>
                <w:szCs w:val="22"/>
              </w:rPr>
              <w:t>apresentar</w:t>
            </w:r>
            <w:r w:rsidR="0060229E">
              <w:rPr>
                <w:rFonts w:asciiTheme="minorHAnsi" w:hAnsiTheme="minorHAnsi" w:cs="Arial"/>
                <w:b/>
                <w:szCs w:val="22"/>
              </w:rPr>
              <w:t xml:space="preserve"> em</w:t>
            </w:r>
            <w:r w:rsidR="00323B75">
              <w:rPr>
                <w:rFonts w:asciiTheme="minorHAnsi" w:hAnsiTheme="minorHAnsi" w:cs="Arial"/>
                <w:b/>
                <w:szCs w:val="22"/>
              </w:rPr>
              <w:t xml:space="preserve"> </w:t>
            </w:r>
            <w:r w:rsidR="0060229E">
              <w:rPr>
                <w:rFonts w:asciiTheme="minorHAnsi" w:hAnsiTheme="minorHAnsi" w:cs="Arial"/>
                <w:b/>
                <w:szCs w:val="22"/>
              </w:rPr>
              <w:t xml:space="preserve">sede </w:t>
            </w:r>
            <w:r w:rsidR="0060229E" w:rsidRPr="009D0EF4">
              <w:rPr>
                <w:rFonts w:asciiTheme="minorHAnsi" w:hAnsiTheme="minorHAnsi" w:cs="Arial"/>
                <w:b/>
                <w:szCs w:val="22"/>
              </w:rPr>
              <w:t>de</w:t>
            </w:r>
            <w:r w:rsidR="0001570F" w:rsidRPr="009D0EF4">
              <w:rPr>
                <w:rFonts w:asciiTheme="minorHAnsi" w:hAnsiTheme="minorHAnsi" w:cs="Arial"/>
                <w:b/>
                <w:szCs w:val="22"/>
              </w:rPr>
              <w:t xml:space="preserve"> licenciamento</w:t>
            </w:r>
          </w:p>
        </w:tc>
        <w:tc>
          <w:tcPr>
            <w:tcW w:w="7200" w:type="dxa"/>
            <w:tcBorders>
              <w:left w:val="single" w:sz="4" w:space="0" w:color="auto"/>
              <w:right w:val="single" w:sz="4" w:space="0" w:color="auto"/>
            </w:tcBorders>
            <w:vAlign w:val="center"/>
          </w:tcPr>
          <w:p w:rsidR="00A50959" w:rsidRPr="001D62DF" w:rsidRDefault="00A50959" w:rsidP="001D62DF">
            <w:pPr>
              <w:pStyle w:val="PargrafodaLista"/>
              <w:numPr>
                <w:ilvl w:val="0"/>
                <w:numId w:val="35"/>
              </w:numPr>
              <w:spacing w:before="120" w:after="120" w:line="360" w:lineRule="auto"/>
              <w:rPr>
                <w:rFonts w:asciiTheme="minorHAnsi" w:hAnsiTheme="minorHAnsi"/>
              </w:rPr>
            </w:pPr>
            <w:r>
              <w:rPr>
                <w:rFonts w:asciiTheme="minorHAnsi" w:hAnsiTheme="minorHAnsi"/>
              </w:rPr>
              <w:t xml:space="preserve">Apresentar comprovativo da autorização concedida pela tutela do património cultural para a realização dos trabalhos de acompanhamento arqueológico da fase de exploração do </w:t>
            </w:r>
            <w:r w:rsidR="00723AEA">
              <w:rPr>
                <w:rFonts w:asciiTheme="minorHAnsi" w:hAnsiTheme="minorHAnsi"/>
              </w:rPr>
              <w:t>projeto.</w:t>
            </w:r>
          </w:p>
        </w:tc>
      </w:tr>
    </w:tbl>
    <w:p w:rsidR="00A71E86" w:rsidRPr="009D0EF4" w:rsidRDefault="00A71E86" w:rsidP="00CF3458">
      <w:pPr>
        <w:spacing w:before="120" w:after="120" w:line="360" w:lineRule="auto"/>
        <w:jc w:val="center"/>
        <w:rPr>
          <w:rFonts w:asciiTheme="minorHAnsi" w:hAnsiTheme="minorHAnsi"/>
          <w:szCs w:val="22"/>
          <w:highlight w:val="yellow"/>
        </w:rPr>
      </w:pPr>
    </w:p>
    <w:p w:rsidR="00F64503" w:rsidRPr="009D0EF4" w:rsidRDefault="00A71E86" w:rsidP="00CF3458">
      <w:pPr>
        <w:spacing w:before="120" w:after="120" w:line="360" w:lineRule="auto"/>
        <w:jc w:val="center"/>
        <w:rPr>
          <w:rFonts w:asciiTheme="minorHAnsi" w:hAnsiTheme="minorHAnsi"/>
          <w:szCs w:val="22"/>
          <w:highlight w:val="yellow"/>
        </w:rPr>
      </w:pPr>
      <w:r w:rsidRPr="009D0EF4">
        <w:rPr>
          <w:rFonts w:asciiTheme="minorHAnsi" w:hAnsiTheme="minorHAnsi"/>
          <w:szCs w:val="22"/>
          <w:highlight w:val="yellow"/>
        </w:rPr>
        <w:br w:type="page"/>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3B4E34" w:rsidRPr="009D0EF4">
        <w:trPr>
          <w:trHeight w:val="286"/>
        </w:trPr>
        <w:tc>
          <w:tcPr>
            <w:tcW w:w="9720" w:type="dxa"/>
            <w:tcBorders>
              <w:left w:val="single" w:sz="4" w:space="0" w:color="auto"/>
              <w:bottom w:val="single" w:sz="4" w:space="0" w:color="auto"/>
              <w:right w:val="single" w:sz="4" w:space="0" w:color="auto"/>
            </w:tcBorders>
            <w:shd w:val="clear" w:color="auto" w:fill="D6E3BC"/>
            <w:vAlign w:val="center"/>
          </w:tcPr>
          <w:p w:rsidR="003B4E34" w:rsidRPr="009D0EF4" w:rsidRDefault="009B4654" w:rsidP="00F23ACE">
            <w:pPr>
              <w:spacing w:before="120" w:after="120"/>
              <w:jc w:val="center"/>
              <w:rPr>
                <w:rFonts w:asciiTheme="minorHAnsi" w:hAnsiTheme="minorHAnsi" w:cs="Arial"/>
                <w:noProof/>
                <w:szCs w:val="22"/>
              </w:rPr>
            </w:pPr>
            <w:r w:rsidRPr="009D0EF4">
              <w:rPr>
                <w:rFonts w:asciiTheme="minorHAnsi" w:hAnsiTheme="minorHAnsi" w:cs="Arial"/>
                <w:b/>
                <w:noProof/>
                <w:szCs w:val="22"/>
              </w:rPr>
              <w:lastRenderedPageBreak/>
              <w:t>Outras c</w:t>
            </w:r>
            <w:r w:rsidR="003B4E34" w:rsidRPr="009D0EF4">
              <w:rPr>
                <w:rFonts w:asciiTheme="minorHAnsi" w:hAnsiTheme="minorHAnsi" w:cs="Arial"/>
                <w:b/>
                <w:noProof/>
                <w:szCs w:val="22"/>
              </w:rPr>
              <w:t>ondições para licenciamento ou autorização do projecto:</w:t>
            </w:r>
          </w:p>
        </w:tc>
      </w:tr>
      <w:tr w:rsidR="003B4E34" w:rsidRPr="009D0EF4">
        <w:trPr>
          <w:trHeight w:val="293"/>
        </w:trPr>
        <w:tc>
          <w:tcPr>
            <w:tcW w:w="9720" w:type="dxa"/>
            <w:tcBorders>
              <w:left w:val="single" w:sz="4" w:space="0" w:color="auto"/>
              <w:right w:val="single" w:sz="4" w:space="0" w:color="auto"/>
            </w:tcBorders>
            <w:shd w:val="clear" w:color="auto" w:fill="E6E6E6"/>
            <w:vAlign w:val="center"/>
          </w:tcPr>
          <w:p w:rsidR="003B4E34" w:rsidRPr="009D0EF4" w:rsidRDefault="003B4E34" w:rsidP="00F23ACE">
            <w:pPr>
              <w:spacing w:before="120" w:after="120"/>
              <w:jc w:val="center"/>
              <w:rPr>
                <w:rFonts w:asciiTheme="minorHAnsi" w:hAnsiTheme="minorHAnsi" w:cs="Arial"/>
                <w:noProof/>
                <w:szCs w:val="22"/>
              </w:rPr>
            </w:pPr>
            <w:r w:rsidRPr="009D0EF4">
              <w:rPr>
                <w:rFonts w:asciiTheme="minorHAnsi" w:hAnsiTheme="minorHAnsi" w:cs="Arial"/>
                <w:b/>
                <w:szCs w:val="22"/>
              </w:rPr>
              <w:t>Medidas de minimização</w:t>
            </w:r>
          </w:p>
        </w:tc>
      </w:tr>
      <w:tr w:rsidR="00CF3458" w:rsidRPr="009D0EF4">
        <w:trPr>
          <w:trHeight w:val="292"/>
        </w:trPr>
        <w:tc>
          <w:tcPr>
            <w:tcW w:w="9720" w:type="dxa"/>
            <w:tcBorders>
              <w:left w:val="single" w:sz="4" w:space="0" w:color="auto"/>
              <w:right w:val="single" w:sz="4" w:space="0" w:color="auto"/>
            </w:tcBorders>
            <w:vAlign w:val="center"/>
          </w:tcPr>
          <w:p w:rsidR="00CF3458" w:rsidRPr="009D0EF4" w:rsidRDefault="00AC3FF3" w:rsidP="00723AEA">
            <w:pPr>
              <w:rPr>
                <w:rFonts w:asciiTheme="minorHAnsi" w:hAnsiTheme="minorHAnsi"/>
                <w:b/>
                <w:szCs w:val="22"/>
              </w:rPr>
            </w:pPr>
            <w:r>
              <w:rPr>
                <w:rFonts w:asciiTheme="minorHAnsi" w:hAnsiTheme="minorHAnsi"/>
                <w:b/>
                <w:szCs w:val="22"/>
              </w:rPr>
              <w:t xml:space="preserve">Fase </w:t>
            </w:r>
            <w:r w:rsidR="00723AEA">
              <w:rPr>
                <w:rFonts w:asciiTheme="minorHAnsi" w:hAnsiTheme="minorHAnsi"/>
                <w:b/>
                <w:szCs w:val="22"/>
              </w:rPr>
              <w:t>de Exploração</w:t>
            </w:r>
          </w:p>
        </w:tc>
      </w:tr>
      <w:tr w:rsidR="00723AEA" w:rsidRPr="004C079D">
        <w:trPr>
          <w:trHeight w:val="292"/>
        </w:trPr>
        <w:tc>
          <w:tcPr>
            <w:tcW w:w="9720" w:type="dxa"/>
            <w:tcBorders>
              <w:left w:val="single" w:sz="4" w:space="0" w:color="auto"/>
              <w:right w:val="single" w:sz="4" w:space="0" w:color="auto"/>
            </w:tcBorders>
            <w:vAlign w:val="center"/>
          </w:tcPr>
          <w:p w:rsidR="00723AEA" w:rsidRPr="005D4C94" w:rsidRDefault="00723AEA" w:rsidP="00723AEA">
            <w:pPr>
              <w:pStyle w:val="PargrafodaLista"/>
              <w:numPr>
                <w:ilvl w:val="0"/>
                <w:numId w:val="36"/>
              </w:numPr>
              <w:spacing w:before="120" w:after="120" w:line="360" w:lineRule="auto"/>
              <w:ind w:left="709" w:hanging="425"/>
              <w:jc w:val="both"/>
              <w:rPr>
                <w:rFonts w:cs="Tahoma"/>
              </w:rPr>
            </w:pPr>
            <w:r w:rsidRPr="005D4C94">
              <w:rPr>
                <w:rFonts w:cs="Tahoma"/>
              </w:rPr>
              <w:t>Vedar e sinaliz</w:t>
            </w:r>
            <w:r w:rsidR="001D62DF">
              <w:rPr>
                <w:rFonts w:cs="Tahoma"/>
              </w:rPr>
              <w:t>ar todo o perímetro da pedreira</w:t>
            </w:r>
            <w:r w:rsidRPr="005D4C94">
              <w:rPr>
                <w:rFonts w:cs="Tahoma"/>
              </w:rPr>
              <w:t xml:space="preserve"> e sinalizar a proibição de pessoas estranhas ao serviço.</w:t>
            </w:r>
          </w:p>
        </w:tc>
      </w:tr>
      <w:tr w:rsidR="00723AEA" w:rsidRPr="004C079D">
        <w:trPr>
          <w:trHeight w:val="292"/>
        </w:trPr>
        <w:tc>
          <w:tcPr>
            <w:tcW w:w="9720" w:type="dxa"/>
            <w:tcBorders>
              <w:left w:val="single" w:sz="4" w:space="0" w:color="auto"/>
              <w:right w:val="single" w:sz="4" w:space="0" w:color="auto"/>
            </w:tcBorders>
            <w:vAlign w:val="center"/>
          </w:tcPr>
          <w:p w:rsidR="00723AEA" w:rsidRPr="00723AEA" w:rsidRDefault="001D62DF" w:rsidP="00723AEA">
            <w:pPr>
              <w:pStyle w:val="PargrafodaLista"/>
              <w:numPr>
                <w:ilvl w:val="0"/>
                <w:numId w:val="36"/>
              </w:numPr>
              <w:spacing w:before="120" w:after="120" w:line="360" w:lineRule="auto"/>
              <w:ind w:left="709" w:hanging="425"/>
              <w:jc w:val="both"/>
              <w:rPr>
                <w:rFonts w:cs="Tahoma"/>
              </w:rPr>
            </w:pPr>
            <w:r>
              <w:rPr>
                <w:rFonts w:cs="Microsoft Sans Serif"/>
                <w:color w:val="000000"/>
              </w:rPr>
              <w:t xml:space="preserve">Manter a vegetação </w:t>
            </w:r>
            <w:r w:rsidR="00723AEA" w:rsidRPr="005D4B3A">
              <w:rPr>
                <w:rFonts w:cs="Microsoft Sans Serif"/>
                <w:color w:val="000000"/>
              </w:rPr>
              <w:t>arbustiva existente nas zonas de defesa</w:t>
            </w:r>
            <w:r w:rsidR="003E45AF">
              <w:rPr>
                <w:rFonts w:cs="Microsoft Sans Serif"/>
                <w:color w:val="000000"/>
              </w:rPr>
              <w:t>.</w:t>
            </w:r>
          </w:p>
        </w:tc>
      </w:tr>
      <w:tr w:rsidR="00723AEA" w:rsidRPr="004C079D">
        <w:trPr>
          <w:trHeight w:val="292"/>
        </w:trPr>
        <w:tc>
          <w:tcPr>
            <w:tcW w:w="9720" w:type="dxa"/>
            <w:tcBorders>
              <w:left w:val="single" w:sz="4" w:space="0" w:color="auto"/>
              <w:right w:val="single" w:sz="4" w:space="0" w:color="auto"/>
            </w:tcBorders>
            <w:vAlign w:val="center"/>
          </w:tcPr>
          <w:p w:rsidR="00723AEA" w:rsidRPr="00723AEA" w:rsidRDefault="00723AEA" w:rsidP="00723AEA">
            <w:pPr>
              <w:pStyle w:val="PargrafodaLista"/>
              <w:numPr>
                <w:ilvl w:val="0"/>
                <w:numId w:val="36"/>
              </w:numPr>
              <w:spacing w:before="120" w:after="120" w:line="360" w:lineRule="auto"/>
              <w:rPr>
                <w:color w:val="000000"/>
              </w:rPr>
            </w:pPr>
            <w:r w:rsidRPr="00723AEA">
              <w:rPr>
                <w:rFonts w:cs="Tahoma"/>
              </w:rPr>
              <w:t>Limitar a destruição do coberto vegetal nas áreas estritamente necessárias e garantir a sua recuperação logo que possível.</w:t>
            </w:r>
          </w:p>
        </w:tc>
      </w:tr>
      <w:tr w:rsidR="00723AEA" w:rsidRPr="004C079D">
        <w:trPr>
          <w:trHeight w:val="292"/>
        </w:trPr>
        <w:tc>
          <w:tcPr>
            <w:tcW w:w="9720" w:type="dxa"/>
            <w:tcBorders>
              <w:left w:val="single" w:sz="4" w:space="0" w:color="auto"/>
              <w:right w:val="single" w:sz="4" w:space="0" w:color="auto"/>
            </w:tcBorders>
            <w:vAlign w:val="center"/>
          </w:tcPr>
          <w:p w:rsidR="00723AEA" w:rsidRPr="00723AEA" w:rsidRDefault="00723AEA" w:rsidP="00723AEA">
            <w:pPr>
              <w:pStyle w:val="PargrafodaLista"/>
              <w:numPr>
                <w:ilvl w:val="0"/>
                <w:numId w:val="36"/>
              </w:numPr>
              <w:spacing w:before="120" w:after="120" w:line="360" w:lineRule="auto"/>
              <w:jc w:val="both"/>
              <w:rPr>
                <w:color w:val="000000"/>
              </w:rPr>
            </w:pPr>
            <w:r w:rsidRPr="005D4B3A">
              <w:rPr>
                <w:rFonts w:cs="Microsoft Sans Serif"/>
                <w:color w:val="000000"/>
              </w:rPr>
              <w:t>Acompanhamento arqueológico da decapagem superficial do terreno e de todas as etapas de exploração que consistem na mobilização de sedimentos (es</w:t>
            </w:r>
            <w:r>
              <w:rPr>
                <w:rFonts w:cs="Microsoft Sans Serif"/>
                <w:color w:val="000000"/>
              </w:rPr>
              <w:t>cavação, revolvimento e aterro).</w:t>
            </w:r>
          </w:p>
        </w:tc>
      </w:tr>
      <w:tr w:rsidR="00723AEA" w:rsidRPr="004C079D">
        <w:trPr>
          <w:trHeight w:val="292"/>
        </w:trPr>
        <w:tc>
          <w:tcPr>
            <w:tcW w:w="9720" w:type="dxa"/>
            <w:tcBorders>
              <w:left w:val="single" w:sz="4" w:space="0" w:color="auto"/>
              <w:right w:val="single" w:sz="4" w:space="0" w:color="auto"/>
            </w:tcBorders>
            <w:vAlign w:val="center"/>
          </w:tcPr>
          <w:p w:rsidR="00723AEA" w:rsidRPr="00723AEA" w:rsidRDefault="00723AEA" w:rsidP="00723AEA">
            <w:pPr>
              <w:pStyle w:val="PargrafodaLista"/>
              <w:numPr>
                <w:ilvl w:val="0"/>
                <w:numId w:val="36"/>
              </w:numPr>
              <w:spacing w:before="120" w:after="120" w:line="360" w:lineRule="auto"/>
              <w:jc w:val="both"/>
              <w:rPr>
                <w:color w:val="000000"/>
              </w:rPr>
            </w:pPr>
            <w:r w:rsidRPr="005D4B3A">
              <w:t>Dada a existência de cavidades cársicas na área do projeto, o acompanhamento deverá ser realizados por arqueólogo com experiência neste tipo de realidades.</w:t>
            </w:r>
          </w:p>
        </w:tc>
      </w:tr>
      <w:tr w:rsidR="00723AEA" w:rsidRPr="004C079D">
        <w:trPr>
          <w:trHeight w:val="292"/>
        </w:trPr>
        <w:tc>
          <w:tcPr>
            <w:tcW w:w="9720" w:type="dxa"/>
            <w:tcBorders>
              <w:left w:val="single" w:sz="4" w:space="0" w:color="auto"/>
              <w:right w:val="single" w:sz="4" w:space="0" w:color="auto"/>
            </w:tcBorders>
            <w:vAlign w:val="center"/>
          </w:tcPr>
          <w:p w:rsidR="00723AEA" w:rsidRPr="00723AEA" w:rsidRDefault="00723AEA" w:rsidP="00723AEA">
            <w:pPr>
              <w:pStyle w:val="PargrafodaLista"/>
              <w:numPr>
                <w:ilvl w:val="0"/>
                <w:numId w:val="36"/>
              </w:numPr>
              <w:spacing w:before="120" w:after="120" w:line="360" w:lineRule="auto"/>
              <w:jc w:val="both"/>
              <w:rPr>
                <w:color w:val="000000"/>
              </w:rPr>
            </w:pPr>
            <w:r w:rsidRPr="005D4B3A">
              <w:t>Todas as ações com impacte no solo deverão, se possível e de acordo com o faseamento da exploração, ser realizadas num único momento e em toda a área de intervenção, de forma a tornar viável o acompanhamento arqueológico.</w:t>
            </w:r>
          </w:p>
        </w:tc>
      </w:tr>
      <w:tr w:rsidR="00CF3458" w:rsidRPr="004C079D">
        <w:trPr>
          <w:trHeight w:val="292"/>
        </w:trPr>
        <w:tc>
          <w:tcPr>
            <w:tcW w:w="9720" w:type="dxa"/>
            <w:tcBorders>
              <w:left w:val="single" w:sz="4" w:space="0" w:color="auto"/>
              <w:right w:val="single" w:sz="4" w:space="0" w:color="auto"/>
            </w:tcBorders>
            <w:vAlign w:val="center"/>
          </w:tcPr>
          <w:p w:rsidR="00723AEA" w:rsidRPr="00FD5571" w:rsidRDefault="00FD5571" w:rsidP="00FD5571">
            <w:pPr>
              <w:pStyle w:val="PargrafodaLista"/>
              <w:numPr>
                <w:ilvl w:val="0"/>
                <w:numId w:val="36"/>
              </w:numPr>
              <w:spacing w:before="120" w:after="120" w:line="360" w:lineRule="auto"/>
              <w:jc w:val="both"/>
              <w:rPr>
                <w:color w:val="000000"/>
              </w:rPr>
            </w:pPr>
            <w:r w:rsidRPr="005D4B3A">
              <w:rPr>
                <w:rFonts w:cs="Tahoma"/>
              </w:rPr>
              <w:t>Confinar as ações respeitantes à exploração no menor espaço possível, limitando as áreas de intervenção para que estas não extravasem e afetem, desnecessariamente, as zonas limítrofes.</w:t>
            </w:r>
          </w:p>
        </w:tc>
      </w:tr>
      <w:tr w:rsidR="00723AEA" w:rsidRPr="004C079D">
        <w:trPr>
          <w:trHeight w:val="292"/>
        </w:trPr>
        <w:tc>
          <w:tcPr>
            <w:tcW w:w="9720" w:type="dxa"/>
            <w:tcBorders>
              <w:left w:val="single" w:sz="4" w:space="0" w:color="auto"/>
              <w:right w:val="single" w:sz="4" w:space="0" w:color="auto"/>
            </w:tcBorders>
            <w:vAlign w:val="center"/>
          </w:tcPr>
          <w:p w:rsidR="00723AEA" w:rsidRPr="00FD5571" w:rsidRDefault="00FD5571" w:rsidP="00FD5571">
            <w:pPr>
              <w:pStyle w:val="PargrafodaLista"/>
              <w:numPr>
                <w:ilvl w:val="0"/>
                <w:numId w:val="36"/>
              </w:numPr>
              <w:spacing w:before="120" w:after="120" w:line="360" w:lineRule="auto"/>
              <w:jc w:val="both"/>
              <w:rPr>
                <w:color w:val="000000"/>
              </w:rPr>
            </w:pPr>
            <w:r w:rsidRPr="005D4B3A">
              <w:rPr>
                <w:rFonts w:cs="Arial"/>
              </w:rPr>
              <w:t>Nas frentes em que se efetua a extração dos materiais, deve ser garantida a estabilidade através de um desmonte com as dimensões e metodologias de exploração definidas em estudo geotécnico próprio. O avanço da lavra deve ser desenvolvido em função da orientação da</w:t>
            </w:r>
            <w:r w:rsidR="001D62DF">
              <w:rPr>
                <w:rFonts w:cs="Arial"/>
              </w:rPr>
              <w:t>s</w:t>
            </w:r>
            <w:r w:rsidRPr="005D4B3A">
              <w:rPr>
                <w:rFonts w:cs="Arial"/>
              </w:rPr>
              <w:t xml:space="preserve"> fraturas</w:t>
            </w:r>
            <w:r w:rsidR="001D62DF">
              <w:rPr>
                <w:rFonts w:cs="Arial"/>
              </w:rPr>
              <w:t>,</w:t>
            </w:r>
            <w:r w:rsidRPr="005D4B3A">
              <w:rPr>
                <w:rFonts w:cs="Arial"/>
              </w:rPr>
              <w:t xml:space="preserve"> de modo garant</w:t>
            </w:r>
            <w:r>
              <w:rPr>
                <w:rFonts w:cs="Arial"/>
              </w:rPr>
              <w:t>ir maior estabilidade do maciço.</w:t>
            </w:r>
          </w:p>
        </w:tc>
      </w:tr>
      <w:tr w:rsidR="00FD5571" w:rsidRPr="004C079D">
        <w:trPr>
          <w:trHeight w:val="292"/>
        </w:trPr>
        <w:tc>
          <w:tcPr>
            <w:tcW w:w="9720" w:type="dxa"/>
            <w:tcBorders>
              <w:left w:val="single" w:sz="4" w:space="0" w:color="auto"/>
              <w:right w:val="single" w:sz="4" w:space="0" w:color="auto"/>
            </w:tcBorders>
            <w:vAlign w:val="center"/>
          </w:tcPr>
          <w:p w:rsidR="00FD5571" w:rsidRPr="00FD5571" w:rsidRDefault="00FD5571" w:rsidP="00FD5571">
            <w:pPr>
              <w:pStyle w:val="PargrafodaLista"/>
              <w:numPr>
                <w:ilvl w:val="0"/>
                <w:numId w:val="36"/>
              </w:numPr>
              <w:spacing w:before="120" w:after="120" w:line="360" w:lineRule="auto"/>
              <w:jc w:val="both"/>
              <w:rPr>
                <w:color w:val="000000"/>
              </w:rPr>
            </w:pPr>
            <w:r w:rsidRPr="005D4B3A">
              <w:rPr>
                <w:rFonts w:cs="Arial"/>
              </w:rPr>
              <w:t>Os depósitos de materiais devem ter uma dimensão adequada, com declives pouco acentuados e um sistema de drenagem, de modo a evitar a ocorrência de fenómenos erosivos.</w:t>
            </w:r>
          </w:p>
        </w:tc>
      </w:tr>
      <w:tr w:rsidR="00FD5571" w:rsidRPr="004C079D">
        <w:trPr>
          <w:trHeight w:val="292"/>
        </w:trPr>
        <w:tc>
          <w:tcPr>
            <w:tcW w:w="9720" w:type="dxa"/>
            <w:tcBorders>
              <w:left w:val="single" w:sz="4" w:space="0" w:color="auto"/>
              <w:right w:val="single" w:sz="4" w:space="0" w:color="auto"/>
            </w:tcBorders>
            <w:vAlign w:val="center"/>
          </w:tcPr>
          <w:p w:rsidR="00FD5571" w:rsidRPr="005D4B3A" w:rsidRDefault="00FD5571" w:rsidP="00FD5571">
            <w:pPr>
              <w:pStyle w:val="PargrafodaLista"/>
              <w:numPr>
                <w:ilvl w:val="0"/>
                <w:numId w:val="36"/>
              </w:numPr>
              <w:spacing w:before="120" w:after="120" w:line="360" w:lineRule="auto"/>
              <w:jc w:val="both"/>
              <w:rPr>
                <w:color w:val="000000"/>
              </w:rPr>
            </w:pPr>
            <w:r w:rsidRPr="005D4B3A">
              <w:rPr>
                <w:rFonts w:cs="Arial"/>
              </w:rPr>
              <w:t>As frentes de exploração que sejam postas a descoberto deverão ser sujeitas a uma avaliação geológica por técnicos habilitados para o efeito</w:t>
            </w:r>
            <w:r w:rsidR="001D62DF">
              <w:rPr>
                <w:rFonts w:cs="Arial"/>
              </w:rPr>
              <w:t>,</w:t>
            </w:r>
            <w:r w:rsidRPr="005D4B3A">
              <w:rPr>
                <w:rFonts w:cs="Arial"/>
              </w:rPr>
              <w:t xml:space="preserve"> de modo a identificar eventuais elementos geológicos que possam constituir valores geológicos com interesse patrimonial. O procedimento a adotar, deverá apontar sempre para a sua preservação e acessibilidade.</w:t>
            </w:r>
          </w:p>
          <w:p w:rsidR="00FD5571" w:rsidRPr="00FD5571" w:rsidRDefault="00FD5571" w:rsidP="00FD5571">
            <w:pPr>
              <w:pStyle w:val="PargrafodaLista"/>
              <w:numPr>
                <w:ilvl w:val="0"/>
                <w:numId w:val="36"/>
              </w:numPr>
              <w:spacing w:before="120" w:after="120" w:line="360" w:lineRule="auto"/>
              <w:jc w:val="both"/>
              <w:rPr>
                <w:color w:val="000000"/>
              </w:rPr>
            </w:pPr>
            <w:r w:rsidRPr="005D4B3A">
              <w:rPr>
                <w:rFonts w:cs="Calibri"/>
              </w:rPr>
              <w:lastRenderedPageBreak/>
              <w:t>Suspender a escavação se houver interseção do nível freático durante a lavra da pedreira e comunicar de imediato à APA (ARH do Tejo e Oeste).</w:t>
            </w:r>
          </w:p>
        </w:tc>
      </w:tr>
      <w:tr w:rsidR="00FD5571" w:rsidRPr="004C079D">
        <w:trPr>
          <w:trHeight w:val="292"/>
        </w:trPr>
        <w:tc>
          <w:tcPr>
            <w:tcW w:w="9720" w:type="dxa"/>
            <w:tcBorders>
              <w:left w:val="single" w:sz="4" w:space="0" w:color="auto"/>
              <w:right w:val="single" w:sz="4" w:space="0" w:color="auto"/>
            </w:tcBorders>
            <w:vAlign w:val="center"/>
          </w:tcPr>
          <w:p w:rsidR="00FD5571" w:rsidRPr="00FD5571" w:rsidRDefault="00FD5571" w:rsidP="00FD5571">
            <w:pPr>
              <w:pStyle w:val="PargrafodaLista"/>
              <w:numPr>
                <w:ilvl w:val="0"/>
                <w:numId w:val="36"/>
              </w:numPr>
              <w:spacing w:before="120" w:after="120" w:line="360" w:lineRule="auto"/>
              <w:jc w:val="both"/>
              <w:rPr>
                <w:color w:val="000000"/>
              </w:rPr>
            </w:pPr>
            <w:r w:rsidRPr="005D4B3A">
              <w:rPr>
                <w:rFonts w:cs="Calibri"/>
              </w:rPr>
              <w:lastRenderedPageBreak/>
              <w:t>É interdita a deposição de resíduos em zonas de máxima infiltração.</w:t>
            </w:r>
          </w:p>
        </w:tc>
      </w:tr>
      <w:tr w:rsidR="00FD5571" w:rsidRPr="004C079D">
        <w:trPr>
          <w:trHeight w:val="292"/>
        </w:trPr>
        <w:tc>
          <w:tcPr>
            <w:tcW w:w="9720" w:type="dxa"/>
            <w:tcBorders>
              <w:left w:val="single" w:sz="4" w:space="0" w:color="auto"/>
              <w:right w:val="single" w:sz="4" w:space="0" w:color="auto"/>
            </w:tcBorders>
            <w:vAlign w:val="center"/>
          </w:tcPr>
          <w:p w:rsidR="00FD5571" w:rsidRPr="00FD5571" w:rsidRDefault="00FD5571" w:rsidP="00FD5571">
            <w:pPr>
              <w:pStyle w:val="PargrafodaLista"/>
              <w:numPr>
                <w:ilvl w:val="0"/>
                <w:numId w:val="36"/>
              </w:numPr>
              <w:spacing w:before="120" w:after="120" w:line="360" w:lineRule="auto"/>
              <w:jc w:val="both"/>
              <w:rPr>
                <w:color w:val="000000"/>
              </w:rPr>
            </w:pPr>
            <w:r w:rsidRPr="005D4B3A">
              <w:rPr>
                <w:rFonts w:cs="Calibri"/>
              </w:rPr>
              <w:t>Assegurar a manutenção e revisão periódicas da fossa estanque</w:t>
            </w:r>
            <w:r w:rsidR="001D62DF">
              <w:rPr>
                <w:rFonts w:cs="Calibri"/>
              </w:rPr>
              <w:t>,</w:t>
            </w:r>
            <w:r w:rsidRPr="005D4B3A">
              <w:rPr>
                <w:rFonts w:cs="Calibri"/>
              </w:rPr>
              <w:t xml:space="preserve"> assegurando a sua estanquicidade e o seu esvaziamento atempado.</w:t>
            </w:r>
          </w:p>
        </w:tc>
      </w:tr>
      <w:tr w:rsidR="00FD5571" w:rsidRPr="004C079D">
        <w:trPr>
          <w:trHeight w:val="292"/>
        </w:trPr>
        <w:tc>
          <w:tcPr>
            <w:tcW w:w="9720" w:type="dxa"/>
            <w:tcBorders>
              <w:left w:val="single" w:sz="4" w:space="0" w:color="auto"/>
              <w:right w:val="single" w:sz="4" w:space="0" w:color="auto"/>
            </w:tcBorders>
            <w:vAlign w:val="center"/>
          </w:tcPr>
          <w:p w:rsidR="00FD5571" w:rsidRPr="00FD5571" w:rsidRDefault="00FD5571" w:rsidP="00FD5571">
            <w:pPr>
              <w:pStyle w:val="PargrafodaLista"/>
              <w:numPr>
                <w:ilvl w:val="0"/>
                <w:numId w:val="36"/>
              </w:numPr>
              <w:spacing w:before="120" w:after="120" w:line="360" w:lineRule="auto"/>
              <w:jc w:val="both"/>
              <w:rPr>
                <w:color w:val="000000"/>
              </w:rPr>
            </w:pPr>
            <w:r w:rsidRPr="005D4B3A">
              <w:rPr>
                <w:rFonts w:cs="Calibri"/>
              </w:rPr>
              <w:t>Proceder à manutenção do estado de limpeza dos órgãos de drenagem pluvial, nomeadamente das valas a instalar na p</w:t>
            </w:r>
            <w:r w:rsidR="001D62DF">
              <w:rPr>
                <w:rFonts w:cs="Calibri"/>
              </w:rPr>
              <w:t>eriferia das áreas de escavação</w:t>
            </w:r>
            <w:r w:rsidRPr="005D4B3A">
              <w:rPr>
                <w:rFonts w:cs="Calibri"/>
              </w:rPr>
              <w:t xml:space="preserve"> e dos acessos às zonas de trabalho, bem como o cumprimento estrito do estabelecido no Plano de Lavra</w:t>
            </w:r>
            <w:r w:rsidR="001D62DF">
              <w:rPr>
                <w:rFonts w:cs="Calibri"/>
              </w:rPr>
              <w:t>,</w:t>
            </w:r>
            <w:r w:rsidRPr="005D4B3A">
              <w:rPr>
                <w:rFonts w:cs="Calibri"/>
              </w:rPr>
              <w:t xml:space="preserve"> tendo em vista evitar o depósito de materiais em zonas expostas a erosão hídrica ou eólica, evitando assim o seu arrastamento.</w:t>
            </w:r>
          </w:p>
        </w:tc>
      </w:tr>
      <w:tr w:rsidR="00FD5571" w:rsidRPr="004C079D">
        <w:trPr>
          <w:trHeight w:val="292"/>
        </w:trPr>
        <w:tc>
          <w:tcPr>
            <w:tcW w:w="9720" w:type="dxa"/>
            <w:tcBorders>
              <w:left w:val="single" w:sz="4" w:space="0" w:color="auto"/>
              <w:right w:val="single" w:sz="4" w:space="0" w:color="auto"/>
            </w:tcBorders>
            <w:vAlign w:val="center"/>
          </w:tcPr>
          <w:p w:rsidR="00FD5571" w:rsidRPr="00FD5571" w:rsidRDefault="00FD5571" w:rsidP="00FD5571">
            <w:pPr>
              <w:pStyle w:val="PargrafodaLista"/>
              <w:numPr>
                <w:ilvl w:val="0"/>
                <w:numId w:val="36"/>
              </w:numPr>
              <w:spacing w:before="120" w:after="120" w:line="360" w:lineRule="auto"/>
              <w:jc w:val="both"/>
              <w:rPr>
                <w:color w:val="000000"/>
              </w:rPr>
            </w:pPr>
            <w:r w:rsidRPr="005D4B3A">
              <w:rPr>
                <w:rFonts w:cs="Calibri"/>
              </w:rPr>
              <w:t>Proceder à lavagem das viaturas pesadas e dos rodados numa área impermeabilizada e em sistema de drenagem fechado.</w:t>
            </w:r>
          </w:p>
        </w:tc>
      </w:tr>
      <w:tr w:rsidR="00FD5571" w:rsidRPr="004C079D">
        <w:trPr>
          <w:trHeight w:val="292"/>
        </w:trPr>
        <w:tc>
          <w:tcPr>
            <w:tcW w:w="9720" w:type="dxa"/>
            <w:tcBorders>
              <w:left w:val="single" w:sz="4" w:space="0" w:color="auto"/>
              <w:right w:val="single" w:sz="4" w:space="0" w:color="auto"/>
            </w:tcBorders>
            <w:vAlign w:val="center"/>
          </w:tcPr>
          <w:p w:rsidR="00FD5571" w:rsidRPr="00FD5571" w:rsidRDefault="00FD5571" w:rsidP="00FD5571">
            <w:pPr>
              <w:pStyle w:val="PargrafodaLista"/>
              <w:numPr>
                <w:ilvl w:val="0"/>
                <w:numId w:val="36"/>
              </w:numPr>
              <w:spacing w:before="120" w:after="120" w:line="360" w:lineRule="auto"/>
              <w:jc w:val="both"/>
              <w:rPr>
                <w:color w:val="000000"/>
              </w:rPr>
            </w:pPr>
            <w:r w:rsidRPr="005D4B3A">
              <w:rPr>
                <w:rFonts w:cs="Calibri"/>
              </w:rPr>
              <w:t>Limitar as áreas de circulação de veículos e máquinas de modo a diminuir a erosão e compactação do solo.</w:t>
            </w:r>
          </w:p>
        </w:tc>
      </w:tr>
      <w:tr w:rsidR="00FD5571" w:rsidRPr="004C079D">
        <w:trPr>
          <w:trHeight w:val="292"/>
        </w:trPr>
        <w:tc>
          <w:tcPr>
            <w:tcW w:w="9720" w:type="dxa"/>
            <w:tcBorders>
              <w:left w:val="single" w:sz="4" w:space="0" w:color="auto"/>
              <w:right w:val="single" w:sz="4" w:space="0" w:color="auto"/>
            </w:tcBorders>
            <w:vAlign w:val="center"/>
          </w:tcPr>
          <w:p w:rsidR="00FD5571" w:rsidRPr="00FD5571" w:rsidRDefault="00FD5571" w:rsidP="00FD5571">
            <w:pPr>
              <w:pStyle w:val="PargrafodaLista"/>
              <w:numPr>
                <w:ilvl w:val="0"/>
                <w:numId w:val="36"/>
              </w:numPr>
              <w:spacing w:before="120" w:after="120" w:line="360" w:lineRule="auto"/>
              <w:jc w:val="both"/>
              <w:rPr>
                <w:color w:val="000000"/>
              </w:rPr>
            </w:pPr>
            <w:r w:rsidRPr="005D4B3A">
              <w:rPr>
                <w:rFonts w:cs="Tahoma"/>
              </w:rPr>
              <w:t>Assegurar o correto armazenamento temporário dos resíduos e efluentes produzidos, de acordo com a sua tipologia e em conformidade com a legislação em vigor, através de envio para entidades credenciadas para o efeito.</w:t>
            </w:r>
          </w:p>
        </w:tc>
      </w:tr>
      <w:tr w:rsidR="00FD5571" w:rsidRPr="004C079D">
        <w:trPr>
          <w:trHeight w:val="292"/>
        </w:trPr>
        <w:tc>
          <w:tcPr>
            <w:tcW w:w="9720" w:type="dxa"/>
            <w:tcBorders>
              <w:left w:val="single" w:sz="4" w:space="0" w:color="auto"/>
              <w:right w:val="single" w:sz="4" w:space="0" w:color="auto"/>
            </w:tcBorders>
            <w:vAlign w:val="center"/>
          </w:tcPr>
          <w:p w:rsidR="00FD5571" w:rsidRPr="00FD5571" w:rsidRDefault="00FD5571" w:rsidP="00FD5571">
            <w:pPr>
              <w:pStyle w:val="PargrafodaLista"/>
              <w:numPr>
                <w:ilvl w:val="0"/>
                <w:numId w:val="36"/>
              </w:numPr>
              <w:spacing w:before="120" w:after="120" w:line="360" w:lineRule="auto"/>
              <w:jc w:val="both"/>
              <w:rPr>
                <w:color w:val="000000"/>
              </w:rPr>
            </w:pPr>
            <w:r w:rsidRPr="005D4B3A">
              <w:rPr>
                <w:rFonts w:cs="Calibri"/>
              </w:rPr>
              <w:t>Impermeabilizar os locais de contentores separativos para recolha de óleos usados, de materiais contaminados por óleos e lubrificantes e de embalagens de óleos e lubrificantes</w:t>
            </w:r>
            <w:r>
              <w:rPr>
                <w:rFonts w:cs="Calibri"/>
              </w:rPr>
              <w:t>.</w:t>
            </w:r>
          </w:p>
        </w:tc>
      </w:tr>
      <w:tr w:rsidR="00FD5571" w:rsidRPr="004C079D">
        <w:trPr>
          <w:trHeight w:val="292"/>
        </w:trPr>
        <w:tc>
          <w:tcPr>
            <w:tcW w:w="9720" w:type="dxa"/>
            <w:tcBorders>
              <w:left w:val="single" w:sz="4" w:space="0" w:color="auto"/>
              <w:right w:val="single" w:sz="4" w:space="0" w:color="auto"/>
            </w:tcBorders>
            <w:vAlign w:val="center"/>
          </w:tcPr>
          <w:p w:rsidR="00FD5571" w:rsidRPr="00FD5571" w:rsidRDefault="00FD5571" w:rsidP="00FD5571">
            <w:pPr>
              <w:pStyle w:val="PargrafodaLista"/>
              <w:numPr>
                <w:ilvl w:val="0"/>
                <w:numId w:val="36"/>
              </w:numPr>
              <w:spacing w:before="120" w:after="120" w:line="360" w:lineRule="auto"/>
              <w:jc w:val="both"/>
              <w:rPr>
                <w:color w:val="000000"/>
              </w:rPr>
            </w:pPr>
            <w:r w:rsidRPr="005D4B3A">
              <w:rPr>
                <w:rFonts w:cs="Symbol"/>
              </w:rPr>
              <w:t>Deverá</w:t>
            </w:r>
            <w:r w:rsidRPr="005D4B3A">
              <w:rPr>
                <w:rFonts w:cs="Tahoma"/>
              </w:rPr>
              <w:t xml:space="preserve"> ser mantido um registo atualizado das quantidades de resíduos gerados e respetivos destinos finais, com base nas guias de acompanhamento de resíduos.</w:t>
            </w:r>
          </w:p>
        </w:tc>
      </w:tr>
      <w:tr w:rsidR="00FD5571" w:rsidRPr="004C079D">
        <w:trPr>
          <w:trHeight w:val="292"/>
        </w:trPr>
        <w:tc>
          <w:tcPr>
            <w:tcW w:w="9720" w:type="dxa"/>
            <w:tcBorders>
              <w:left w:val="single" w:sz="4" w:space="0" w:color="auto"/>
              <w:right w:val="single" w:sz="4" w:space="0" w:color="auto"/>
            </w:tcBorders>
            <w:vAlign w:val="center"/>
          </w:tcPr>
          <w:p w:rsidR="00FD5571" w:rsidRPr="00FD5571" w:rsidRDefault="00FD5571" w:rsidP="00FD5571">
            <w:pPr>
              <w:pStyle w:val="PargrafodaLista"/>
              <w:numPr>
                <w:ilvl w:val="0"/>
                <w:numId w:val="36"/>
              </w:numPr>
              <w:spacing w:before="120" w:after="120" w:line="360" w:lineRule="auto"/>
              <w:jc w:val="both"/>
              <w:rPr>
                <w:color w:val="000000"/>
              </w:rPr>
            </w:pPr>
            <w:r w:rsidRPr="005D4B3A">
              <w:rPr>
                <w:rFonts w:cs="Tahoma"/>
              </w:rPr>
              <w:t>Assegurar o destino final adequado para os efluentes domésticos provenientes das instalações sociais.</w:t>
            </w:r>
          </w:p>
        </w:tc>
      </w:tr>
      <w:tr w:rsidR="00FD5571" w:rsidRPr="004C079D">
        <w:trPr>
          <w:trHeight w:val="292"/>
        </w:trPr>
        <w:tc>
          <w:tcPr>
            <w:tcW w:w="9720" w:type="dxa"/>
            <w:tcBorders>
              <w:left w:val="single" w:sz="4" w:space="0" w:color="auto"/>
              <w:right w:val="single" w:sz="4" w:space="0" w:color="auto"/>
            </w:tcBorders>
            <w:vAlign w:val="center"/>
          </w:tcPr>
          <w:p w:rsidR="00FD5571" w:rsidRPr="00FD5571" w:rsidRDefault="00FD5571" w:rsidP="00FD5571">
            <w:pPr>
              <w:pStyle w:val="PargrafodaLista"/>
              <w:numPr>
                <w:ilvl w:val="0"/>
                <w:numId w:val="36"/>
              </w:numPr>
              <w:spacing w:before="120" w:after="120" w:line="360" w:lineRule="auto"/>
              <w:jc w:val="both"/>
              <w:rPr>
                <w:color w:val="000000"/>
              </w:rPr>
            </w:pPr>
            <w:r w:rsidRPr="005D4B3A">
              <w:rPr>
                <w:rFonts w:cs="Calibri"/>
              </w:rPr>
              <w:t>Sempre que ocorra um derrame de produtos químicos no solo, deve proceder-se à recolha do solo contaminado, se necessário com o auxílio de um produto absorvente adequado, e ao seu armazenamento e envio para destino final ou recolha por operador licenciado.</w:t>
            </w:r>
          </w:p>
        </w:tc>
      </w:tr>
      <w:tr w:rsidR="00FD5571" w:rsidRPr="004C079D">
        <w:trPr>
          <w:trHeight w:val="292"/>
        </w:trPr>
        <w:tc>
          <w:tcPr>
            <w:tcW w:w="9720" w:type="dxa"/>
            <w:tcBorders>
              <w:left w:val="single" w:sz="4" w:space="0" w:color="auto"/>
              <w:right w:val="single" w:sz="4" w:space="0" w:color="auto"/>
            </w:tcBorders>
            <w:vAlign w:val="center"/>
          </w:tcPr>
          <w:p w:rsidR="00FD5571" w:rsidRPr="00FD5571" w:rsidRDefault="00FD5571" w:rsidP="00FD5571">
            <w:pPr>
              <w:pStyle w:val="PargrafodaLista"/>
              <w:numPr>
                <w:ilvl w:val="0"/>
                <w:numId w:val="36"/>
              </w:numPr>
              <w:spacing w:before="120" w:after="120" w:line="360" w:lineRule="auto"/>
              <w:jc w:val="both"/>
              <w:rPr>
                <w:color w:val="000000"/>
              </w:rPr>
            </w:pPr>
            <w:r w:rsidRPr="005D4B3A">
              <w:rPr>
                <w:rFonts w:cs="Calibri"/>
              </w:rPr>
              <w:t xml:space="preserve">Não efetuar qualquer tipo de manutenção de equipamentos que envolva a produção de resíduos no interior da pedreira, de forma a eliminar as possibilidades de contaminação das águas </w:t>
            </w:r>
            <w:r w:rsidRPr="005D4B3A">
              <w:rPr>
                <w:rFonts w:cs="Calibri"/>
              </w:rPr>
              <w:lastRenderedPageBreak/>
              <w:t>subterrâneas por infiltração dos poluentes.</w:t>
            </w:r>
          </w:p>
        </w:tc>
      </w:tr>
      <w:tr w:rsidR="00FD5571" w:rsidRPr="004C079D">
        <w:trPr>
          <w:trHeight w:val="292"/>
        </w:trPr>
        <w:tc>
          <w:tcPr>
            <w:tcW w:w="9720" w:type="dxa"/>
            <w:tcBorders>
              <w:left w:val="single" w:sz="4" w:space="0" w:color="auto"/>
              <w:right w:val="single" w:sz="4" w:space="0" w:color="auto"/>
            </w:tcBorders>
            <w:vAlign w:val="center"/>
          </w:tcPr>
          <w:p w:rsidR="00FD5571" w:rsidRPr="00FD5571" w:rsidRDefault="00FD5571" w:rsidP="00FD5571">
            <w:pPr>
              <w:pStyle w:val="PargrafodaLista"/>
              <w:numPr>
                <w:ilvl w:val="0"/>
                <w:numId w:val="36"/>
              </w:numPr>
              <w:spacing w:before="120" w:after="120" w:line="360" w:lineRule="auto"/>
              <w:jc w:val="both"/>
              <w:rPr>
                <w:color w:val="000000"/>
              </w:rPr>
            </w:pPr>
            <w:r w:rsidRPr="005D4B3A">
              <w:rPr>
                <w:rFonts w:cs="Calibri"/>
              </w:rPr>
              <w:lastRenderedPageBreak/>
              <w:t>Cumprir o Plano de Pedreira.</w:t>
            </w:r>
          </w:p>
        </w:tc>
      </w:tr>
      <w:tr w:rsidR="00FD5571" w:rsidRPr="004C079D">
        <w:trPr>
          <w:trHeight w:val="292"/>
        </w:trPr>
        <w:tc>
          <w:tcPr>
            <w:tcW w:w="9720" w:type="dxa"/>
            <w:tcBorders>
              <w:left w:val="single" w:sz="4" w:space="0" w:color="auto"/>
              <w:right w:val="single" w:sz="4" w:space="0" w:color="auto"/>
            </w:tcBorders>
            <w:vAlign w:val="center"/>
          </w:tcPr>
          <w:p w:rsidR="00FD5571" w:rsidRPr="00016268" w:rsidRDefault="00016268" w:rsidP="00016268">
            <w:pPr>
              <w:pStyle w:val="PargrafodaLista"/>
              <w:numPr>
                <w:ilvl w:val="0"/>
                <w:numId w:val="36"/>
              </w:numPr>
              <w:spacing w:before="120" w:after="120" w:line="360" w:lineRule="auto"/>
              <w:jc w:val="both"/>
              <w:rPr>
                <w:color w:val="000000"/>
              </w:rPr>
            </w:pPr>
            <w:r w:rsidRPr="005D4B3A">
              <w:rPr>
                <w:rFonts w:cs="Tahoma"/>
              </w:rPr>
              <w:t>Implementar os Planos de Monitorização que fazem parte integrante do presente estudo.</w:t>
            </w:r>
          </w:p>
        </w:tc>
      </w:tr>
      <w:tr w:rsidR="00016268" w:rsidRPr="004C079D">
        <w:trPr>
          <w:trHeight w:val="292"/>
        </w:trPr>
        <w:tc>
          <w:tcPr>
            <w:tcW w:w="9720" w:type="dxa"/>
            <w:tcBorders>
              <w:left w:val="single" w:sz="4" w:space="0" w:color="auto"/>
              <w:right w:val="single" w:sz="4" w:space="0" w:color="auto"/>
            </w:tcBorders>
            <w:vAlign w:val="center"/>
          </w:tcPr>
          <w:p w:rsidR="00016268" w:rsidRPr="00016268" w:rsidRDefault="00016268" w:rsidP="00016268">
            <w:pPr>
              <w:pStyle w:val="PargrafodaLista"/>
              <w:numPr>
                <w:ilvl w:val="0"/>
                <w:numId w:val="36"/>
              </w:numPr>
              <w:spacing w:before="120" w:after="120" w:line="360" w:lineRule="auto"/>
              <w:jc w:val="both"/>
              <w:rPr>
                <w:color w:val="000000"/>
              </w:rPr>
            </w:pPr>
            <w:r w:rsidRPr="005D4B3A">
              <w:rPr>
                <w:rFonts w:cs="Tahoma"/>
              </w:rPr>
              <w:t>Implementar o PARP e o respetivo elenco florístico baseado em espécies autóctones, garantindo desta forma um maior sucesso na sua implantação.</w:t>
            </w:r>
          </w:p>
        </w:tc>
      </w:tr>
      <w:tr w:rsidR="00016268" w:rsidRPr="004C079D">
        <w:trPr>
          <w:trHeight w:val="292"/>
        </w:trPr>
        <w:tc>
          <w:tcPr>
            <w:tcW w:w="9720" w:type="dxa"/>
            <w:tcBorders>
              <w:left w:val="single" w:sz="4" w:space="0" w:color="auto"/>
              <w:right w:val="single" w:sz="4" w:space="0" w:color="auto"/>
            </w:tcBorders>
            <w:vAlign w:val="center"/>
          </w:tcPr>
          <w:p w:rsidR="00016268" w:rsidRPr="00016268" w:rsidRDefault="00016268" w:rsidP="00016268">
            <w:pPr>
              <w:pStyle w:val="PargrafodaLista"/>
              <w:numPr>
                <w:ilvl w:val="0"/>
                <w:numId w:val="36"/>
              </w:numPr>
              <w:spacing w:before="120" w:after="120" w:line="360" w:lineRule="auto"/>
              <w:jc w:val="both"/>
              <w:rPr>
                <w:color w:val="000000"/>
              </w:rPr>
            </w:pPr>
            <w:r w:rsidRPr="005D4B3A">
              <w:rPr>
                <w:rFonts w:cs="Tahoma"/>
              </w:rPr>
              <w:t>Privilegiar o uso de caminhos já existentes.</w:t>
            </w:r>
          </w:p>
        </w:tc>
      </w:tr>
      <w:tr w:rsidR="00016268" w:rsidRPr="004C079D">
        <w:trPr>
          <w:trHeight w:val="292"/>
        </w:trPr>
        <w:tc>
          <w:tcPr>
            <w:tcW w:w="9720" w:type="dxa"/>
            <w:tcBorders>
              <w:left w:val="single" w:sz="4" w:space="0" w:color="auto"/>
              <w:right w:val="single" w:sz="4" w:space="0" w:color="auto"/>
            </w:tcBorders>
            <w:vAlign w:val="center"/>
          </w:tcPr>
          <w:p w:rsidR="00016268" w:rsidRPr="00016268" w:rsidRDefault="00016268" w:rsidP="00016268">
            <w:pPr>
              <w:pStyle w:val="PargrafodaLista"/>
              <w:numPr>
                <w:ilvl w:val="0"/>
                <w:numId w:val="36"/>
              </w:numPr>
              <w:spacing w:before="120" w:after="120" w:line="360" w:lineRule="auto"/>
              <w:jc w:val="both"/>
              <w:rPr>
                <w:color w:val="000000"/>
              </w:rPr>
            </w:pPr>
            <w:r w:rsidRPr="005D4B3A">
              <w:rPr>
                <w:rFonts w:cs="Tahoma"/>
              </w:rPr>
              <w:t>Manter os acessos em boas condições circulação.</w:t>
            </w:r>
          </w:p>
        </w:tc>
      </w:tr>
      <w:tr w:rsidR="00016268" w:rsidRPr="004C079D">
        <w:trPr>
          <w:trHeight w:val="292"/>
        </w:trPr>
        <w:tc>
          <w:tcPr>
            <w:tcW w:w="9720" w:type="dxa"/>
            <w:tcBorders>
              <w:left w:val="single" w:sz="4" w:space="0" w:color="auto"/>
              <w:right w:val="single" w:sz="4" w:space="0" w:color="auto"/>
            </w:tcBorders>
            <w:vAlign w:val="center"/>
          </w:tcPr>
          <w:p w:rsidR="00016268" w:rsidRPr="00016268" w:rsidRDefault="00016268" w:rsidP="00016268">
            <w:pPr>
              <w:pStyle w:val="PargrafodaLista"/>
              <w:numPr>
                <w:ilvl w:val="0"/>
                <w:numId w:val="36"/>
              </w:numPr>
              <w:spacing w:before="120" w:after="120" w:line="360" w:lineRule="auto"/>
              <w:jc w:val="both"/>
              <w:rPr>
                <w:color w:val="000000"/>
              </w:rPr>
            </w:pPr>
            <w:r w:rsidRPr="005D4B3A">
              <w:rPr>
                <w:rFonts w:cs="Calibri"/>
              </w:rPr>
              <w:t>Implementar sinalização adequada ao movimento rodoviário de viaturas pesadas nos acessos à pedreira.</w:t>
            </w:r>
          </w:p>
        </w:tc>
      </w:tr>
      <w:tr w:rsidR="00016268" w:rsidRPr="004C079D">
        <w:trPr>
          <w:trHeight w:val="292"/>
        </w:trPr>
        <w:tc>
          <w:tcPr>
            <w:tcW w:w="9720" w:type="dxa"/>
            <w:tcBorders>
              <w:left w:val="single" w:sz="4" w:space="0" w:color="auto"/>
              <w:right w:val="single" w:sz="4" w:space="0" w:color="auto"/>
            </w:tcBorders>
            <w:vAlign w:val="center"/>
          </w:tcPr>
          <w:p w:rsidR="00016268" w:rsidRPr="005D4B3A" w:rsidRDefault="00016268" w:rsidP="00016268">
            <w:pPr>
              <w:pStyle w:val="PargrafodaLista"/>
              <w:numPr>
                <w:ilvl w:val="0"/>
                <w:numId w:val="36"/>
              </w:numPr>
              <w:spacing w:before="120" w:after="120" w:line="360" w:lineRule="auto"/>
              <w:jc w:val="both"/>
              <w:rPr>
                <w:rFonts w:cs="Tahoma"/>
              </w:rPr>
            </w:pPr>
            <w:r w:rsidRPr="005D4B3A">
              <w:rPr>
                <w:rFonts w:cs="Symbol"/>
              </w:rPr>
              <w:t xml:space="preserve">Limitar </w:t>
            </w:r>
            <w:r w:rsidRPr="005D4B3A">
              <w:rPr>
                <w:rFonts w:cs="Tahoma"/>
              </w:rPr>
              <w:t>a velocidade de circulação dos equipamentos e m</w:t>
            </w:r>
            <w:r>
              <w:rPr>
                <w:rFonts w:cs="Tahoma"/>
              </w:rPr>
              <w:t>áquinas no interior da pedreira.</w:t>
            </w:r>
          </w:p>
        </w:tc>
      </w:tr>
      <w:tr w:rsidR="00016268" w:rsidRPr="004C079D">
        <w:trPr>
          <w:trHeight w:val="292"/>
        </w:trPr>
        <w:tc>
          <w:tcPr>
            <w:tcW w:w="9720" w:type="dxa"/>
            <w:tcBorders>
              <w:left w:val="single" w:sz="4" w:space="0" w:color="auto"/>
              <w:right w:val="single" w:sz="4" w:space="0" w:color="auto"/>
            </w:tcBorders>
            <w:vAlign w:val="center"/>
          </w:tcPr>
          <w:p w:rsidR="00016268" w:rsidRPr="00016268" w:rsidRDefault="001D62DF" w:rsidP="001D62DF">
            <w:pPr>
              <w:pStyle w:val="PargrafodaLista"/>
              <w:numPr>
                <w:ilvl w:val="0"/>
                <w:numId w:val="36"/>
              </w:numPr>
              <w:spacing w:before="120" w:after="120" w:line="360" w:lineRule="auto"/>
              <w:jc w:val="both"/>
              <w:rPr>
                <w:color w:val="000000"/>
              </w:rPr>
            </w:pPr>
            <w:r>
              <w:rPr>
                <w:rFonts w:cs="Microsoft Sans Serif"/>
                <w:color w:val="000000"/>
              </w:rPr>
              <w:t>Proceder à a</w:t>
            </w:r>
            <w:r w:rsidR="00016268" w:rsidRPr="005D4B3A">
              <w:rPr>
                <w:rFonts w:cs="Microsoft Sans Serif"/>
                <w:color w:val="000000"/>
              </w:rPr>
              <w:t>spersão com água das vias de circulação e do material a transportar, para redução das poeiras em suspensão, levantadas pela deslocação de equipamentos e veículos pesados e deposição de matéria-prima, essencialmente no período estival.</w:t>
            </w:r>
          </w:p>
        </w:tc>
      </w:tr>
      <w:tr w:rsidR="00016268" w:rsidRPr="004C079D">
        <w:trPr>
          <w:trHeight w:val="292"/>
        </w:trPr>
        <w:tc>
          <w:tcPr>
            <w:tcW w:w="9720" w:type="dxa"/>
            <w:tcBorders>
              <w:left w:val="single" w:sz="4" w:space="0" w:color="auto"/>
              <w:right w:val="single" w:sz="4" w:space="0" w:color="auto"/>
            </w:tcBorders>
            <w:vAlign w:val="center"/>
          </w:tcPr>
          <w:p w:rsidR="00016268" w:rsidRPr="00016268" w:rsidRDefault="00016268" w:rsidP="00016268">
            <w:pPr>
              <w:pStyle w:val="PargrafodaLista"/>
              <w:numPr>
                <w:ilvl w:val="0"/>
                <w:numId w:val="36"/>
              </w:numPr>
              <w:spacing w:before="120" w:after="120" w:line="360" w:lineRule="auto"/>
              <w:jc w:val="both"/>
              <w:rPr>
                <w:color w:val="000000"/>
              </w:rPr>
            </w:pPr>
            <w:r w:rsidRPr="005D4B3A">
              <w:rPr>
                <w:rFonts w:cs="Microsoft Sans Serif"/>
                <w:color w:val="000000"/>
              </w:rPr>
              <w:t>Efetuar limpeza e manutenção regular dos acessos e da área afeta à pedreira, de forma a evitar a acumulação e ressuspensão de poeiras, quer por ação do vento, quer por ação da circulação de veículos e de equipamentos de obra.</w:t>
            </w:r>
          </w:p>
        </w:tc>
      </w:tr>
      <w:tr w:rsidR="00016268" w:rsidRPr="004C079D">
        <w:trPr>
          <w:trHeight w:val="292"/>
        </w:trPr>
        <w:tc>
          <w:tcPr>
            <w:tcW w:w="9720" w:type="dxa"/>
            <w:tcBorders>
              <w:left w:val="single" w:sz="4" w:space="0" w:color="auto"/>
              <w:right w:val="single" w:sz="4" w:space="0" w:color="auto"/>
            </w:tcBorders>
            <w:vAlign w:val="center"/>
          </w:tcPr>
          <w:p w:rsidR="00016268" w:rsidRPr="00016268" w:rsidRDefault="00016268" w:rsidP="00016268">
            <w:pPr>
              <w:pStyle w:val="PargrafodaLista"/>
              <w:numPr>
                <w:ilvl w:val="0"/>
                <w:numId w:val="36"/>
              </w:numPr>
              <w:spacing w:before="120" w:after="120" w:line="360" w:lineRule="auto"/>
              <w:jc w:val="both"/>
              <w:rPr>
                <w:color w:val="000000"/>
              </w:rPr>
            </w:pPr>
            <w:r w:rsidRPr="005D4B3A">
              <w:rPr>
                <w:rFonts w:cs="Microsoft Sans Serif"/>
                <w:color w:val="000000"/>
              </w:rPr>
              <w:t>Proceder a manutenção e revisão periódica de todas as máquinas e veículos afetos a obra, de forma a manter as normais condições de funcionamento e assegurar a minimização das emissões gasosas, ruído e vibrações.</w:t>
            </w:r>
          </w:p>
        </w:tc>
      </w:tr>
      <w:tr w:rsidR="00016268" w:rsidRPr="004C079D">
        <w:trPr>
          <w:trHeight w:val="292"/>
        </w:trPr>
        <w:tc>
          <w:tcPr>
            <w:tcW w:w="9720" w:type="dxa"/>
            <w:tcBorders>
              <w:left w:val="single" w:sz="4" w:space="0" w:color="auto"/>
              <w:right w:val="single" w:sz="4" w:space="0" w:color="auto"/>
            </w:tcBorders>
            <w:vAlign w:val="center"/>
          </w:tcPr>
          <w:p w:rsidR="00016268" w:rsidRPr="00016268" w:rsidRDefault="001D62DF" w:rsidP="001D62DF">
            <w:pPr>
              <w:pStyle w:val="PargrafodaLista"/>
              <w:numPr>
                <w:ilvl w:val="0"/>
                <w:numId w:val="36"/>
              </w:numPr>
              <w:spacing w:before="120" w:after="120" w:line="360" w:lineRule="auto"/>
              <w:jc w:val="both"/>
              <w:rPr>
                <w:color w:val="000000"/>
              </w:rPr>
            </w:pPr>
            <w:r>
              <w:rPr>
                <w:rFonts w:cs="Symbol"/>
              </w:rPr>
              <w:t>Não realizar</w:t>
            </w:r>
            <w:r w:rsidR="00016268" w:rsidRPr="005D4B3A">
              <w:rPr>
                <w:rFonts w:cs="Tahoma"/>
              </w:rPr>
              <w:t xml:space="preserve"> queimas </w:t>
            </w:r>
            <w:r>
              <w:rPr>
                <w:rFonts w:cs="Tahoma"/>
              </w:rPr>
              <w:t xml:space="preserve">de resíduos </w:t>
            </w:r>
            <w:r w:rsidR="00016268" w:rsidRPr="005D4B3A">
              <w:rPr>
                <w:rFonts w:cs="Tahoma"/>
              </w:rPr>
              <w:t>a céu aberto.</w:t>
            </w:r>
          </w:p>
        </w:tc>
      </w:tr>
      <w:tr w:rsidR="00AC3FF3" w:rsidRPr="004C079D">
        <w:trPr>
          <w:trHeight w:val="292"/>
        </w:trPr>
        <w:tc>
          <w:tcPr>
            <w:tcW w:w="9720" w:type="dxa"/>
            <w:tcBorders>
              <w:left w:val="single" w:sz="4" w:space="0" w:color="auto"/>
              <w:right w:val="single" w:sz="4" w:space="0" w:color="auto"/>
            </w:tcBorders>
            <w:vAlign w:val="center"/>
          </w:tcPr>
          <w:p w:rsidR="00AC3FF3" w:rsidRPr="004C079D" w:rsidRDefault="008A1183" w:rsidP="00810CB2">
            <w:pPr>
              <w:pStyle w:val="PargrafodaLista"/>
              <w:numPr>
                <w:ilvl w:val="0"/>
                <w:numId w:val="18"/>
              </w:numPr>
              <w:spacing w:before="120" w:after="120" w:line="360" w:lineRule="auto"/>
              <w:ind w:left="0"/>
              <w:jc w:val="both"/>
              <w:rPr>
                <w:rFonts w:asciiTheme="minorHAnsi" w:hAnsiTheme="minorHAnsi" w:cs="Arial"/>
                <w:b/>
              </w:rPr>
            </w:pPr>
            <w:r>
              <w:rPr>
                <w:rFonts w:asciiTheme="minorHAnsi" w:hAnsiTheme="minorHAnsi" w:cs="Arial"/>
                <w:b/>
              </w:rPr>
              <w:t>Fase de Desativação</w:t>
            </w:r>
          </w:p>
        </w:tc>
      </w:tr>
      <w:tr w:rsidR="00087F5D" w:rsidRPr="004C079D">
        <w:trPr>
          <w:trHeight w:val="292"/>
        </w:trPr>
        <w:tc>
          <w:tcPr>
            <w:tcW w:w="9720" w:type="dxa"/>
            <w:tcBorders>
              <w:left w:val="single" w:sz="4" w:space="0" w:color="auto"/>
              <w:right w:val="single" w:sz="4" w:space="0" w:color="auto"/>
            </w:tcBorders>
            <w:vAlign w:val="center"/>
          </w:tcPr>
          <w:p w:rsidR="008A1183" w:rsidRPr="008A1183" w:rsidRDefault="008A1183" w:rsidP="008A1183">
            <w:pPr>
              <w:pStyle w:val="PargrafodaLista"/>
              <w:numPr>
                <w:ilvl w:val="0"/>
                <w:numId w:val="36"/>
              </w:numPr>
              <w:spacing w:before="120" w:after="120" w:line="360" w:lineRule="auto"/>
              <w:rPr>
                <w:rFonts w:asciiTheme="minorHAnsi" w:hAnsiTheme="minorHAnsi" w:cs="Arial"/>
                <w:b/>
              </w:rPr>
            </w:pPr>
            <w:r w:rsidRPr="00811A5C">
              <w:rPr>
                <w:rFonts w:cs="Arial"/>
              </w:rPr>
              <w:t>Salvaguardar a criação de taludes com pendentes adequados a uma boa aplicação do coberto vegetal previsto, por forma a evitar a ocorrência de fenómenos erosivos e de movimentos de vertente</w:t>
            </w:r>
            <w:r>
              <w:rPr>
                <w:rFonts w:cs="Arial"/>
              </w:rPr>
              <w:t>.</w:t>
            </w:r>
          </w:p>
          <w:p w:rsidR="008A1183" w:rsidRPr="008A1183" w:rsidRDefault="008A1183" w:rsidP="008A1183">
            <w:pPr>
              <w:pStyle w:val="PargrafodaLista"/>
              <w:spacing w:before="120" w:after="120" w:line="360" w:lineRule="auto"/>
              <w:rPr>
                <w:rFonts w:asciiTheme="minorHAnsi" w:hAnsiTheme="minorHAnsi" w:cs="Arial"/>
                <w:b/>
              </w:rPr>
            </w:pPr>
          </w:p>
        </w:tc>
      </w:tr>
      <w:tr w:rsidR="00CF3458" w:rsidRPr="004C079D">
        <w:trPr>
          <w:trHeight w:val="292"/>
        </w:trPr>
        <w:tc>
          <w:tcPr>
            <w:tcW w:w="9720" w:type="dxa"/>
            <w:tcBorders>
              <w:left w:val="single" w:sz="4" w:space="0" w:color="auto"/>
              <w:right w:val="single" w:sz="4" w:space="0" w:color="auto"/>
            </w:tcBorders>
            <w:vAlign w:val="center"/>
          </w:tcPr>
          <w:p w:rsidR="00FC1BE9" w:rsidRPr="008A1183" w:rsidRDefault="008A1183" w:rsidP="008A1183">
            <w:pPr>
              <w:pStyle w:val="PargrafodaLista"/>
              <w:numPr>
                <w:ilvl w:val="0"/>
                <w:numId w:val="36"/>
              </w:numPr>
              <w:spacing w:before="120" w:after="120" w:line="360" w:lineRule="auto"/>
              <w:jc w:val="both"/>
              <w:rPr>
                <w:color w:val="000000"/>
              </w:rPr>
            </w:pPr>
            <w:r w:rsidRPr="005D4B3A">
              <w:rPr>
                <w:rFonts w:cs="Tahoma"/>
              </w:rPr>
              <w:lastRenderedPageBreak/>
              <w:t>Efetuar o desmantelamento e remoção do equipamento existente na pedreira observando sempre as normas em vigor respeitantes á eliminação de resíduos, sempre que possível, este será reutilizado ou reciclado ou, na sua impossibilidade, enviado para destino final adequado.</w:t>
            </w:r>
          </w:p>
        </w:tc>
      </w:tr>
      <w:tr w:rsidR="00A03D8A" w:rsidRPr="004C079D" w:rsidTr="00D25DAB">
        <w:trPr>
          <w:trHeight w:val="293"/>
        </w:trPr>
        <w:tc>
          <w:tcPr>
            <w:tcW w:w="9720" w:type="dxa"/>
            <w:tcBorders>
              <w:left w:val="single" w:sz="4" w:space="0" w:color="auto"/>
              <w:right w:val="single" w:sz="4" w:space="0" w:color="auto"/>
            </w:tcBorders>
            <w:shd w:val="clear" w:color="auto" w:fill="E6E6E6"/>
            <w:vAlign w:val="center"/>
          </w:tcPr>
          <w:p w:rsidR="00A03D8A" w:rsidRPr="004C079D" w:rsidRDefault="00A03D8A" w:rsidP="00810CB2">
            <w:pPr>
              <w:spacing w:before="120" w:after="120"/>
              <w:rPr>
                <w:rFonts w:asciiTheme="minorHAnsi" w:hAnsiTheme="minorHAnsi" w:cs="Arial"/>
                <w:noProof/>
                <w:szCs w:val="22"/>
              </w:rPr>
            </w:pPr>
            <w:r w:rsidRPr="004C079D">
              <w:rPr>
                <w:rFonts w:asciiTheme="minorHAnsi" w:hAnsiTheme="minorHAnsi" w:cs="Arial"/>
                <w:b/>
                <w:szCs w:val="22"/>
              </w:rPr>
              <w:t>Programas de Monitorização</w:t>
            </w:r>
          </w:p>
        </w:tc>
      </w:tr>
      <w:tr w:rsidR="00A03D8A" w:rsidRPr="004C079D">
        <w:trPr>
          <w:trHeight w:val="292"/>
        </w:trPr>
        <w:tc>
          <w:tcPr>
            <w:tcW w:w="9720" w:type="dxa"/>
            <w:tcBorders>
              <w:left w:val="single" w:sz="4" w:space="0" w:color="auto"/>
              <w:right w:val="single" w:sz="4" w:space="0" w:color="auto"/>
            </w:tcBorders>
            <w:vAlign w:val="center"/>
          </w:tcPr>
          <w:p w:rsidR="00D217F5" w:rsidRPr="004C079D" w:rsidRDefault="00D217F5" w:rsidP="00810CB2">
            <w:pPr>
              <w:pStyle w:val="Corpodetexto"/>
              <w:spacing w:before="120" w:line="360" w:lineRule="auto"/>
              <w:rPr>
                <w:rFonts w:asciiTheme="minorHAnsi" w:eastAsia="Verdana" w:hAnsiTheme="minorHAnsi" w:cs="Calibri"/>
                <w:b/>
                <w:color w:val="000000"/>
                <w:sz w:val="22"/>
                <w:szCs w:val="22"/>
              </w:rPr>
            </w:pPr>
            <w:r w:rsidRPr="004C079D">
              <w:rPr>
                <w:rFonts w:asciiTheme="minorHAnsi" w:eastAsia="Verdana" w:hAnsiTheme="minorHAnsi" w:cs="Calibri"/>
                <w:b/>
                <w:color w:val="000000"/>
                <w:sz w:val="22"/>
                <w:szCs w:val="22"/>
              </w:rPr>
              <w:t>1. Recursos Hídricos Subterrâneos</w:t>
            </w:r>
          </w:p>
          <w:p w:rsidR="00D217F5" w:rsidRPr="004C079D" w:rsidRDefault="00D217F5" w:rsidP="00810CB2">
            <w:pPr>
              <w:pStyle w:val="Corpodetexto"/>
              <w:spacing w:before="120" w:line="360" w:lineRule="auto"/>
              <w:rPr>
                <w:rFonts w:asciiTheme="minorHAnsi" w:eastAsia="Verdana" w:hAnsiTheme="minorHAnsi" w:cs="Calibri"/>
                <w:b/>
                <w:color w:val="000000"/>
                <w:sz w:val="22"/>
                <w:szCs w:val="22"/>
              </w:rPr>
            </w:pPr>
            <w:r w:rsidRPr="004C079D">
              <w:rPr>
                <w:rFonts w:asciiTheme="minorHAnsi" w:eastAsia="Verdana" w:hAnsiTheme="minorHAnsi" w:cs="Calibri"/>
                <w:b/>
                <w:color w:val="000000"/>
                <w:sz w:val="22"/>
                <w:szCs w:val="22"/>
              </w:rPr>
              <w:t>1.1 Parâmetros a Monitorizar</w:t>
            </w:r>
          </w:p>
          <w:p w:rsidR="00D217F5" w:rsidRPr="00054C42" w:rsidRDefault="00A44BA1" w:rsidP="00810CB2">
            <w:pPr>
              <w:spacing w:before="120" w:after="120" w:line="360" w:lineRule="auto"/>
              <w:contextualSpacing/>
              <w:rPr>
                <w:rFonts w:asciiTheme="minorHAnsi" w:hAnsiTheme="minorHAnsi"/>
                <w:szCs w:val="22"/>
              </w:rPr>
            </w:pPr>
            <w:r w:rsidRPr="004C079D">
              <w:rPr>
                <w:rFonts w:asciiTheme="minorHAnsi" w:hAnsiTheme="minorHAnsi"/>
                <w:szCs w:val="22"/>
              </w:rPr>
              <w:t>P</w:t>
            </w:r>
            <w:r w:rsidR="00D217F5" w:rsidRPr="004C079D">
              <w:rPr>
                <w:rFonts w:asciiTheme="minorHAnsi" w:hAnsiTheme="minorHAnsi"/>
                <w:szCs w:val="22"/>
              </w:rPr>
              <w:t>H, Condutividade, Cloretos, Sulfatos, Cálcio, Magnésio, Sódio, Potássio, Alumínio, Chumbo, Cádmio, Dureza total, Nitratos, Azoto amoniacal, SST CQO, CBO5, Coliformes fecais e Coliformes totais e Estreptococos fecais; Volume de água captada.</w:t>
            </w:r>
          </w:p>
          <w:p w:rsidR="00D217F5" w:rsidRPr="004C079D" w:rsidRDefault="00D217F5" w:rsidP="00810CB2">
            <w:pPr>
              <w:pStyle w:val="Corpodetexto"/>
              <w:spacing w:before="120" w:line="360" w:lineRule="auto"/>
              <w:rPr>
                <w:rFonts w:asciiTheme="minorHAnsi" w:hAnsiTheme="minorHAnsi" w:cs="Calibri"/>
                <w:b/>
                <w:sz w:val="22"/>
                <w:szCs w:val="22"/>
              </w:rPr>
            </w:pPr>
            <w:r w:rsidRPr="004C079D">
              <w:rPr>
                <w:rFonts w:asciiTheme="minorHAnsi" w:hAnsiTheme="minorHAnsi" w:cs="Calibri"/>
                <w:b/>
                <w:sz w:val="22"/>
                <w:szCs w:val="22"/>
              </w:rPr>
              <w:t>1.2 Locais e Frequência de Amostragem</w:t>
            </w:r>
          </w:p>
          <w:p w:rsidR="00D217F5" w:rsidRPr="004C079D" w:rsidRDefault="00D217F5" w:rsidP="00810CB2">
            <w:pPr>
              <w:pStyle w:val="Corpodetexto"/>
              <w:spacing w:before="120" w:line="360" w:lineRule="auto"/>
              <w:rPr>
                <w:rFonts w:asciiTheme="minorHAnsi" w:hAnsiTheme="minorHAnsi" w:cs="Calibri"/>
                <w:sz w:val="22"/>
                <w:szCs w:val="22"/>
              </w:rPr>
            </w:pPr>
            <w:r w:rsidRPr="004C079D">
              <w:rPr>
                <w:rFonts w:asciiTheme="minorHAnsi" w:hAnsiTheme="minorHAnsi" w:cs="Calibri"/>
                <w:sz w:val="22"/>
                <w:szCs w:val="22"/>
              </w:rPr>
              <w:t xml:space="preserve">Locais de Amostragem: </w:t>
            </w:r>
          </w:p>
          <w:p w:rsidR="00D217F5" w:rsidRPr="004C079D" w:rsidRDefault="00D217F5" w:rsidP="00810CB2">
            <w:pPr>
              <w:pStyle w:val="Corpodetexto"/>
              <w:spacing w:before="120" w:line="360" w:lineRule="auto"/>
              <w:rPr>
                <w:rFonts w:asciiTheme="minorHAnsi" w:eastAsia="Verdana" w:hAnsiTheme="minorHAnsi" w:cs="Calibri"/>
                <w:sz w:val="22"/>
                <w:szCs w:val="22"/>
              </w:rPr>
            </w:pPr>
            <w:r w:rsidRPr="004C079D">
              <w:rPr>
                <w:rFonts w:asciiTheme="minorHAnsi" w:eastAsia="Verdana" w:hAnsiTheme="minorHAnsi" w:cs="Calibri"/>
                <w:sz w:val="22"/>
                <w:szCs w:val="22"/>
              </w:rPr>
              <w:t xml:space="preserve">Furo da Exploração </w:t>
            </w:r>
          </w:p>
          <w:p w:rsidR="00D217F5" w:rsidRPr="004C079D" w:rsidRDefault="00D217F5" w:rsidP="00810CB2">
            <w:pPr>
              <w:pStyle w:val="Corpodetexto"/>
              <w:spacing w:before="120" w:line="360" w:lineRule="auto"/>
              <w:rPr>
                <w:rFonts w:asciiTheme="minorHAnsi" w:hAnsiTheme="minorHAnsi" w:cs="Calibri"/>
                <w:sz w:val="22"/>
                <w:szCs w:val="22"/>
              </w:rPr>
            </w:pPr>
            <w:r w:rsidRPr="004C079D">
              <w:rPr>
                <w:rFonts w:asciiTheme="minorHAnsi" w:hAnsiTheme="minorHAnsi" w:cs="Calibri"/>
                <w:sz w:val="22"/>
                <w:szCs w:val="22"/>
              </w:rPr>
              <w:t xml:space="preserve">Frequência de Amostragem: </w:t>
            </w:r>
          </w:p>
          <w:p w:rsidR="00D217F5" w:rsidRPr="00054C42" w:rsidRDefault="00D217F5" w:rsidP="00810CB2">
            <w:pPr>
              <w:pStyle w:val="Corpodetexto"/>
              <w:spacing w:before="120" w:line="360" w:lineRule="auto"/>
              <w:rPr>
                <w:rFonts w:asciiTheme="minorHAnsi" w:eastAsia="Verdana" w:hAnsiTheme="minorHAnsi" w:cs="Calibri"/>
                <w:sz w:val="22"/>
                <w:szCs w:val="22"/>
              </w:rPr>
            </w:pPr>
            <w:r w:rsidRPr="004C079D">
              <w:rPr>
                <w:rFonts w:asciiTheme="minorHAnsi" w:eastAsia="Verdana" w:hAnsiTheme="minorHAnsi" w:cs="Calibri"/>
                <w:sz w:val="22"/>
                <w:szCs w:val="22"/>
              </w:rPr>
              <w:t>As medições e monitorizações da qualidade da água deverão ter uma periodicidade semestral, sendo realizada uma campanha em época de águas altas, (março) e outra em época de águas baixas (setembro).</w:t>
            </w:r>
          </w:p>
          <w:p w:rsidR="00D217F5" w:rsidRPr="004C079D" w:rsidRDefault="00D217F5" w:rsidP="00810CB2">
            <w:pPr>
              <w:pStyle w:val="Corpodetexto"/>
              <w:spacing w:before="120" w:line="360" w:lineRule="auto"/>
              <w:rPr>
                <w:rFonts w:asciiTheme="minorHAnsi" w:hAnsiTheme="minorHAnsi" w:cs="Calibri"/>
                <w:b/>
                <w:sz w:val="22"/>
                <w:szCs w:val="22"/>
              </w:rPr>
            </w:pPr>
            <w:r w:rsidRPr="004C079D">
              <w:rPr>
                <w:rFonts w:asciiTheme="minorHAnsi" w:hAnsiTheme="minorHAnsi" w:cs="Calibri"/>
                <w:b/>
                <w:sz w:val="22"/>
                <w:szCs w:val="22"/>
              </w:rPr>
              <w:t>1.3 Técnicas e Métodos de Análise ou Registo de Dados e Equipamentos Necessários</w:t>
            </w:r>
          </w:p>
          <w:p w:rsidR="00D217F5" w:rsidRPr="00054C42" w:rsidRDefault="00D217F5" w:rsidP="00810CB2">
            <w:pPr>
              <w:pStyle w:val="Corpodetexto"/>
              <w:spacing w:before="120" w:line="360" w:lineRule="auto"/>
              <w:rPr>
                <w:rFonts w:asciiTheme="minorHAnsi" w:hAnsiTheme="minorHAnsi" w:cs="Calibri"/>
                <w:sz w:val="22"/>
                <w:szCs w:val="22"/>
              </w:rPr>
            </w:pPr>
            <w:r w:rsidRPr="004C079D">
              <w:rPr>
                <w:rFonts w:asciiTheme="minorHAnsi" w:eastAsia="Verdana" w:hAnsiTheme="minorHAnsi" w:cs="Calibri"/>
                <w:sz w:val="22"/>
                <w:szCs w:val="22"/>
              </w:rPr>
              <w:t>A avaliação dos resultados deverá ser efetuada com base no Anexo I do Decreto-lei n.º 236/98, de 1 de agosto</w:t>
            </w:r>
            <w:r w:rsidRPr="004C079D">
              <w:rPr>
                <w:rFonts w:asciiTheme="minorHAnsi" w:hAnsiTheme="minorHAnsi" w:cs="Calibri"/>
                <w:sz w:val="22"/>
                <w:szCs w:val="22"/>
              </w:rPr>
              <w:t>, ou legislação que lhe suceda.</w:t>
            </w:r>
          </w:p>
          <w:p w:rsidR="00D217F5" w:rsidRPr="004C079D" w:rsidRDefault="00D217F5" w:rsidP="00810CB2">
            <w:pPr>
              <w:pStyle w:val="Corpodetexto"/>
              <w:spacing w:before="120" w:line="360" w:lineRule="auto"/>
              <w:rPr>
                <w:rFonts w:asciiTheme="minorHAnsi" w:hAnsiTheme="minorHAnsi" w:cs="Calibri"/>
                <w:b/>
                <w:sz w:val="22"/>
                <w:szCs w:val="22"/>
              </w:rPr>
            </w:pPr>
            <w:r w:rsidRPr="004C079D">
              <w:rPr>
                <w:rFonts w:asciiTheme="minorHAnsi" w:hAnsiTheme="minorHAnsi" w:cs="Calibri"/>
                <w:b/>
                <w:sz w:val="22"/>
                <w:szCs w:val="22"/>
              </w:rPr>
              <w:t>1.4 Métodos de Tratamento dos Dados</w:t>
            </w:r>
          </w:p>
          <w:p w:rsidR="00D217F5" w:rsidRPr="004C079D" w:rsidRDefault="00D217F5" w:rsidP="00810CB2">
            <w:pPr>
              <w:pStyle w:val="Corpodetexto"/>
              <w:spacing w:before="120" w:line="360" w:lineRule="auto"/>
              <w:rPr>
                <w:rFonts w:asciiTheme="minorHAnsi" w:hAnsiTheme="minorHAnsi" w:cs="Calibri"/>
                <w:sz w:val="22"/>
                <w:szCs w:val="22"/>
              </w:rPr>
            </w:pPr>
            <w:r w:rsidRPr="004C079D">
              <w:rPr>
                <w:rFonts w:asciiTheme="minorHAnsi" w:hAnsiTheme="minorHAnsi" w:cs="Calibri"/>
                <w:sz w:val="22"/>
                <w:szCs w:val="22"/>
              </w:rPr>
              <w:t>Tal como referido em relação a metodologias de amostragem e registo de dados, também o tratamento dos dados obtidos deverá garantir a correta comparação destes resultados com os valores estipulados como valores limite na legislação, nomeadamente no Anexo I (Água para consumo humano), que regula a classificação das águas quanto à sua aptidão para a produção de água para consumo humano, previamente à realização de qualquer tipo de tratamento da mesma.</w:t>
            </w:r>
          </w:p>
          <w:p w:rsidR="00D217F5" w:rsidRPr="004C079D" w:rsidRDefault="00D217F5" w:rsidP="00810CB2">
            <w:pPr>
              <w:pStyle w:val="Corpodetexto"/>
              <w:spacing w:before="120" w:line="360" w:lineRule="auto"/>
              <w:rPr>
                <w:rFonts w:asciiTheme="minorHAnsi" w:hAnsiTheme="minorHAnsi" w:cs="Calibri"/>
                <w:sz w:val="22"/>
                <w:szCs w:val="22"/>
              </w:rPr>
            </w:pPr>
            <w:r w:rsidRPr="004C079D">
              <w:rPr>
                <w:rFonts w:asciiTheme="minorHAnsi" w:hAnsiTheme="minorHAnsi" w:cs="Calibri"/>
                <w:sz w:val="22"/>
                <w:szCs w:val="22"/>
              </w:rPr>
              <w:t xml:space="preserve">De acordo com os objetivos estabelecidos, </w:t>
            </w:r>
            <w:r w:rsidR="00A44BA1" w:rsidRPr="004C079D">
              <w:rPr>
                <w:rFonts w:asciiTheme="minorHAnsi" w:hAnsiTheme="minorHAnsi" w:cs="Calibri"/>
                <w:sz w:val="22"/>
                <w:szCs w:val="22"/>
              </w:rPr>
              <w:t>dever-se-á</w:t>
            </w:r>
            <w:r w:rsidRPr="004C079D">
              <w:rPr>
                <w:rFonts w:asciiTheme="minorHAnsi" w:hAnsiTheme="minorHAnsi" w:cs="Calibri"/>
                <w:sz w:val="22"/>
                <w:szCs w:val="22"/>
              </w:rPr>
              <w:t xml:space="preserve"> essencialmente verificar os resultados obtidos relativamente aos limites estabelecidos legalmente para cada um dos parâmetros monitorizados, por forma a poder adequar os procedimentos a seguir.</w:t>
            </w:r>
          </w:p>
          <w:p w:rsidR="00D217F5" w:rsidRPr="004C079D" w:rsidRDefault="00D217F5" w:rsidP="00810CB2">
            <w:pPr>
              <w:pStyle w:val="Corpodetexto"/>
              <w:spacing w:before="120" w:line="360" w:lineRule="auto"/>
              <w:rPr>
                <w:rFonts w:asciiTheme="minorHAnsi" w:hAnsiTheme="minorHAnsi" w:cs="Calibri"/>
                <w:b/>
                <w:sz w:val="22"/>
                <w:szCs w:val="22"/>
                <w:highlight w:val="yellow"/>
              </w:rPr>
            </w:pPr>
          </w:p>
          <w:p w:rsidR="00D217F5" w:rsidRPr="004C079D" w:rsidRDefault="00D217F5" w:rsidP="00810CB2">
            <w:pPr>
              <w:pStyle w:val="Corpodetexto"/>
              <w:spacing w:before="120" w:line="360" w:lineRule="auto"/>
              <w:rPr>
                <w:rFonts w:asciiTheme="minorHAnsi" w:hAnsiTheme="minorHAnsi" w:cs="Calibri"/>
                <w:b/>
                <w:sz w:val="22"/>
                <w:szCs w:val="22"/>
              </w:rPr>
            </w:pPr>
            <w:r w:rsidRPr="004C079D">
              <w:rPr>
                <w:rFonts w:asciiTheme="minorHAnsi" w:hAnsiTheme="minorHAnsi" w:cs="Calibri"/>
                <w:b/>
                <w:sz w:val="22"/>
                <w:szCs w:val="22"/>
              </w:rPr>
              <w:lastRenderedPageBreak/>
              <w:t>1.5 Tipo de Medidas de Gestão Ambiental a Adotar na Sequência dos Resultados dos Programas de Monitorização</w:t>
            </w:r>
          </w:p>
          <w:p w:rsidR="00D217F5" w:rsidRPr="00054C42" w:rsidRDefault="00D217F5" w:rsidP="00810CB2">
            <w:pPr>
              <w:pStyle w:val="Corpodetexto"/>
              <w:spacing w:before="120" w:line="360" w:lineRule="auto"/>
              <w:rPr>
                <w:rFonts w:asciiTheme="minorHAnsi" w:hAnsiTheme="minorHAnsi" w:cs="Calibri"/>
                <w:sz w:val="22"/>
                <w:szCs w:val="22"/>
              </w:rPr>
            </w:pPr>
            <w:r w:rsidRPr="004C079D">
              <w:rPr>
                <w:rFonts w:asciiTheme="minorHAnsi" w:hAnsiTheme="minorHAnsi" w:cs="Calibri"/>
                <w:sz w:val="22"/>
                <w:szCs w:val="22"/>
              </w:rPr>
              <w:t>Caso os resultados sejam indicativos de uma contaminação efetiva da qualidade da água, resultante da exploração em apreço, numa primeira fase será definida uma reprogramação das campanhas que poderá envolver uma maior frequência de amostragem, ou outros pontos, para eventual despiste da situação verificada, sendo que, posteriormente, deverão ser estudadas e adotadas medidas capazes de minimizar adequadamente a situação, caso se confirme a contaminação.</w:t>
            </w:r>
          </w:p>
          <w:p w:rsidR="00D217F5" w:rsidRPr="004C079D" w:rsidRDefault="00D217F5" w:rsidP="00810CB2">
            <w:pPr>
              <w:pStyle w:val="Corpodetexto"/>
              <w:spacing w:before="120" w:line="360" w:lineRule="auto"/>
              <w:rPr>
                <w:rFonts w:asciiTheme="minorHAnsi" w:hAnsiTheme="minorHAnsi" w:cs="Calibri"/>
                <w:b/>
                <w:sz w:val="22"/>
                <w:szCs w:val="22"/>
              </w:rPr>
            </w:pPr>
            <w:r w:rsidRPr="004C079D">
              <w:rPr>
                <w:rFonts w:asciiTheme="minorHAnsi" w:hAnsiTheme="minorHAnsi" w:cs="Calibri"/>
                <w:b/>
                <w:sz w:val="22"/>
                <w:szCs w:val="22"/>
              </w:rPr>
              <w:t>1.6 Periodicidade dos Relatórios de Monitorização, Respetivas Datas de Entrega e Critérios para a Decisão sobre a Revisão do Programa de Monitorização</w:t>
            </w:r>
          </w:p>
          <w:p w:rsidR="00D217F5" w:rsidRPr="004C079D" w:rsidRDefault="00D217F5" w:rsidP="00810CB2">
            <w:pPr>
              <w:pStyle w:val="Corpodetexto"/>
              <w:spacing w:before="120" w:line="360" w:lineRule="auto"/>
              <w:rPr>
                <w:rFonts w:asciiTheme="minorHAnsi" w:hAnsiTheme="minorHAnsi" w:cs="Calibri"/>
                <w:sz w:val="22"/>
                <w:szCs w:val="22"/>
              </w:rPr>
            </w:pPr>
            <w:r w:rsidRPr="004C079D">
              <w:rPr>
                <w:rFonts w:asciiTheme="minorHAnsi" w:hAnsiTheme="minorHAnsi" w:cs="Calibri"/>
                <w:sz w:val="22"/>
                <w:szCs w:val="22"/>
              </w:rPr>
              <w:t xml:space="preserve">A periodicidade dos relatórios de monitorização deverá ser anual (com as duas campanhas semestrais), de modo a possibilitar uma atuação atempada, em caso de se detetarem situações críticas e/ou de incumprimento. </w:t>
            </w:r>
          </w:p>
          <w:p w:rsidR="00D217F5" w:rsidRPr="004C079D" w:rsidRDefault="00D217F5" w:rsidP="00810CB2">
            <w:pPr>
              <w:pStyle w:val="Corpodetexto"/>
              <w:spacing w:before="120" w:line="360" w:lineRule="auto"/>
              <w:rPr>
                <w:rFonts w:asciiTheme="minorHAnsi" w:hAnsiTheme="minorHAnsi" w:cs="Calibri"/>
                <w:sz w:val="22"/>
                <w:szCs w:val="22"/>
              </w:rPr>
            </w:pPr>
            <w:r w:rsidRPr="004C079D">
              <w:rPr>
                <w:rFonts w:asciiTheme="minorHAnsi" w:hAnsiTheme="minorHAnsi" w:cs="Calibri"/>
                <w:sz w:val="22"/>
                <w:szCs w:val="22"/>
              </w:rPr>
              <w:t>Os critérios para a decisão sobre a revisão dos programas de monitorização deverão ser definidos consoante os resultados obtidos, sendo obviamente o programa ajustado de acordo com as necessidades verificadas.</w:t>
            </w:r>
          </w:p>
          <w:p w:rsidR="00054C42" w:rsidRDefault="00D217F5" w:rsidP="00810CB2">
            <w:pPr>
              <w:pStyle w:val="Corpodetexto"/>
              <w:spacing w:before="120" w:line="360" w:lineRule="auto"/>
              <w:rPr>
                <w:rFonts w:asciiTheme="minorHAnsi" w:hAnsiTheme="minorHAnsi" w:cs="Calibri"/>
                <w:sz w:val="22"/>
                <w:szCs w:val="22"/>
              </w:rPr>
            </w:pPr>
            <w:r w:rsidRPr="004C079D">
              <w:rPr>
                <w:rFonts w:asciiTheme="minorHAnsi" w:hAnsiTheme="minorHAnsi" w:cs="Calibri"/>
                <w:sz w:val="22"/>
                <w:szCs w:val="22"/>
              </w:rPr>
              <w:t>O programa de monitorização poderá também ser revisto na sequência de estudos a desenvolver, ou em função de legislação específica que, nesta área, imponha novas metodologias e critérios.</w:t>
            </w:r>
          </w:p>
          <w:p w:rsidR="00054C42" w:rsidRDefault="00054C42" w:rsidP="00810CB2">
            <w:pPr>
              <w:pStyle w:val="Corpodetexto"/>
              <w:spacing w:before="120" w:line="360" w:lineRule="auto"/>
              <w:rPr>
                <w:rFonts w:asciiTheme="minorHAnsi" w:hAnsiTheme="minorHAnsi" w:cs="Calibri"/>
                <w:sz w:val="22"/>
                <w:szCs w:val="22"/>
              </w:rPr>
            </w:pPr>
          </w:p>
          <w:p w:rsidR="00CB30BF" w:rsidRPr="00472B50" w:rsidRDefault="00CB30BF" w:rsidP="00CB30BF">
            <w:pPr>
              <w:pStyle w:val="Corpodetexto2"/>
              <w:spacing w:before="120" w:line="360" w:lineRule="auto"/>
              <w:rPr>
                <w:rFonts w:asciiTheme="minorHAnsi" w:hAnsiTheme="minorHAnsi" w:cs="Microsoft Sans Serif"/>
                <w:b/>
                <w:color w:val="000000"/>
                <w:szCs w:val="22"/>
              </w:rPr>
            </w:pPr>
            <w:r>
              <w:rPr>
                <w:rFonts w:asciiTheme="minorHAnsi" w:hAnsiTheme="minorHAnsi" w:cs="Microsoft Sans Serif"/>
                <w:b/>
                <w:color w:val="000000"/>
                <w:szCs w:val="22"/>
              </w:rPr>
              <w:t xml:space="preserve">2- </w:t>
            </w:r>
            <w:r w:rsidRPr="00472B50">
              <w:rPr>
                <w:rFonts w:asciiTheme="minorHAnsi" w:hAnsiTheme="minorHAnsi" w:cs="Microsoft Sans Serif"/>
                <w:b/>
                <w:color w:val="000000"/>
                <w:szCs w:val="22"/>
              </w:rPr>
              <w:t>Qualidade de Ar</w:t>
            </w:r>
          </w:p>
          <w:p w:rsidR="00CB30BF" w:rsidRPr="00472B50" w:rsidRDefault="00CB30BF" w:rsidP="00CB30BF">
            <w:pPr>
              <w:pStyle w:val="Corpodetexto2"/>
              <w:spacing w:before="120" w:line="360" w:lineRule="auto"/>
              <w:rPr>
                <w:rFonts w:asciiTheme="minorHAnsi" w:hAnsiTheme="minorHAnsi" w:cs="Microsoft Sans Serif"/>
                <w:color w:val="000000"/>
                <w:szCs w:val="22"/>
              </w:rPr>
            </w:pPr>
            <w:r w:rsidRPr="00CB30BF">
              <w:rPr>
                <w:rFonts w:asciiTheme="minorHAnsi" w:hAnsiTheme="minorHAnsi" w:cs="Microsoft Sans Serif"/>
                <w:b/>
                <w:color w:val="000000"/>
                <w:szCs w:val="22"/>
              </w:rPr>
              <w:t>2.1</w:t>
            </w:r>
            <w:r w:rsidRPr="00472B50">
              <w:rPr>
                <w:rFonts w:asciiTheme="minorHAnsi" w:hAnsiTheme="minorHAnsi" w:cs="Microsoft Sans Serif"/>
                <w:color w:val="000000"/>
                <w:szCs w:val="22"/>
              </w:rPr>
              <w:t>. Parâmetros a Monitorizar</w:t>
            </w:r>
          </w:p>
          <w:p w:rsidR="00CB30BF" w:rsidRPr="00472B50" w:rsidRDefault="00CB30BF" w:rsidP="00CB30BF">
            <w:pPr>
              <w:pStyle w:val="Corpodetexto2"/>
              <w:spacing w:before="120" w:line="360" w:lineRule="auto"/>
              <w:rPr>
                <w:rFonts w:asciiTheme="minorHAnsi" w:hAnsiTheme="minorHAnsi" w:cs="Microsoft Sans Serif"/>
                <w:color w:val="000000"/>
                <w:szCs w:val="22"/>
              </w:rPr>
            </w:pPr>
            <w:r w:rsidRPr="00472B50">
              <w:rPr>
                <w:rFonts w:asciiTheme="minorHAnsi" w:hAnsiTheme="minorHAnsi" w:cs="Microsoft Sans Serif"/>
                <w:color w:val="000000"/>
                <w:szCs w:val="22"/>
              </w:rPr>
              <w:t>O plano de monitorização deve incidir sobre a avaliação da concentração de partículas PM10 (µ/m3).</w:t>
            </w:r>
          </w:p>
          <w:p w:rsidR="00CB30BF" w:rsidRPr="00472B50" w:rsidRDefault="00CB30BF" w:rsidP="00CB30BF">
            <w:pPr>
              <w:pStyle w:val="Corpodetexto2"/>
              <w:spacing w:before="120" w:line="360" w:lineRule="auto"/>
              <w:rPr>
                <w:rFonts w:asciiTheme="minorHAnsi" w:hAnsiTheme="minorHAnsi" w:cs="Microsoft Sans Serif"/>
                <w:color w:val="000000"/>
                <w:szCs w:val="22"/>
              </w:rPr>
            </w:pPr>
            <w:r w:rsidRPr="00CB30BF">
              <w:rPr>
                <w:rFonts w:asciiTheme="minorHAnsi" w:hAnsiTheme="minorHAnsi" w:cs="Microsoft Sans Serif"/>
                <w:b/>
                <w:color w:val="000000"/>
                <w:szCs w:val="22"/>
              </w:rPr>
              <w:t>2.2</w:t>
            </w:r>
            <w:r w:rsidRPr="00472B50">
              <w:rPr>
                <w:rFonts w:asciiTheme="minorHAnsi" w:hAnsiTheme="minorHAnsi" w:cs="Microsoft Sans Serif"/>
                <w:color w:val="000000"/>
                <w:szCs w:val="22"/>
              </w:rPr>
              <w:t>. Local de medição</w:t>
            </w:r>
          </w:p>
          <w:p w:rsidR="00CB30BF" w:rsidRPr="00472B50" w:rsidRDefault="00CB30BF" w:rsidP="00CB30BF">
            <w:pPr>
              <w:pStyle w:val="Corpodetexto2"/>
              <w:spacing w:before="120" w:line="360" w:lineRule="auto"/>
              <w:rPr>
                <w:rFonts w:asciiTheme="minorHAnsi" w:hAnsiTheme="minorHAnsi" w:cs="Microsoft Sans Serif"/>
                <w:color w:val="000000"/>
                <w:szCs w:val="22"/>
              </w:rPr>
            </w:pPr>
            <w:r w:rsidRPr="00472B50">
              <w:rPr>
                <w:rFonts w:asciiTheme="minorHAnsi" w:hAnsiTheme="minorHAnsi" w:cs="Microsoft Sans Serif"/>
                <w:color w:val="000000"/>
                <w:szCs w:val="22"/>
              </w:rPr>
              <w:t xml:space="preserve">Deve ser usado o ponto monitorizado no EIA; Habitação mais próxima da área de exploração a cerca de 550 m a SE do limite da pedreira. </w:t>
            </w:r>
          </w:p>
          <w:p w:rsidR="00CB30BF" w:rsidRPr="00472B50" w:rsidRDefault="00CB30BF" w:rsidP="00CB30BF">
            <w:pPr>
              <w:pStyle w:val="Corpodetexto2"/>
              <w:spacing w:before="120" w:line="360" w:lineRule="auto"/>
              <w:rPr>
                <w:rFonts w:asciiTheme="minorHAnsi" w:hAnsiTheme="minorHAnsi" w:cs="Microsoft Sans Serif"/>
                <w:color w:val="000000"/>
                <w:szCs w:val="22"/>
              </w:rPr>
            </w:pPr>
            <w:r w:rsidRPr="00CB30BF">
              <w:rPr>
                <w:rFonts w:asciiTheme="minorHAnsi" w:hAnsiTheme="minorHAnsi" w:cs="Microsoft Sans Serif"/>
                <w:b/>
                <w:color w:val="000000"/>
                <w:szCs w:val="22"/>
              </w:rPr>
              <w:t>2.3</w:t>
            </w:r>
            <w:r w:rsidRPr="00472B50">
              <w:rPr>
                <w:rFonts w:asciiTheme="minorHAnsi" w:hAnsiTheme="minorHAnsi" w:cs="Microsoft Sans Serif"/>
                <w:color w:val="000000"/>
                <w:szCs w:val="22"/>
              </w:rPr>
              <w:t>. Frequência de amostragem</w:t>
            </w:r>
          </w:p>
          <w:p w:rsidR="00CB30BF" w:rsidRPr="00472B50" w:rsidRDefault="00CB30BF" w:rsidP="00CB30BF">
            <w:pPr>
              <w:pStyle w:val="Corpodetexto2"/>
              <w:spacing w:before="120" w:line="360" w:lineRule="auto"/>
              <w:rPr>
                <w:rFonts w:asciiTheme="minorHAnsi" w:hAnsiTheme="minorHAnsi" w:cs="Microsoft Sans Serif"/>
                <w:color w:val="000000"/>
                <w:szCs w:val="22"/>
              </w:rPr>
            </w:pPr>
            <w:r w:rsidRPr="00472B50">
              <w:rPr>
                <w:rFonts w:asciiTheme="minorHAnsi" w:hAnsiTheme="minorHAnsi" w:cs="Microsoft Sans Serif"/>
                <w:color w:val="000000"/>
                <w:szCs w:val="22"/>
              </w:rPr>
              <w:t xml:space="preserve">A frequência de amostragem é anual ou de 5 em 5 anos dependendo dos resultados obtidos durante o primeiro ano de exploração. No final do primeiro ano deve ser avaliada a necessidade de monitorização para os anos seguintes. Para este efeito devem ser tidas em consideração as estimativas dos indicadores legais anuais para PM10 (com base nos resultados da monitorização e das estações de monitorização rurais de fundo) que se não ultrapassarem 70% dos valores limite (limiares superiores de avaliação 28 μg/ </w:t>
            </w:r>
            <w:r w:rsidRPr="00472B50">
              <w:rPr>
                <w:rFonts w:asciiTheme="minorHAnsi" w:hAnsiTheme="minorHAnsi" w:cs="Microsoft Sans Serif"/>
                <w:color w:val="000000"/>
                <w:szCs w:val="22"/>
              </w:rPr>
              <w:lastRenderedPageBreak/>
              <w:t>m3 para a média anual e 35 μg/ m3 para o 36º máximo das médias diárias do ano), as medições anuais não são obrigatórias e nova avaliação deverá ser realizada ao fim de cinco anos.</w:t>
            </w:r>
          </w:p>
          <w:p w:rsidR="00CB30BF" w:rsidRPr="00472B50" w:rsidRDefault="00CB30BF" w:rsidP="00CB30BF">
            <w:pPr>
              <w:pStyle w:val="Corpodetexto2"/>
              <w:spacing w:before="120" w:line="360" w:lineRule="auto"/>
              <w:rPr>
                <w:rFonts w:asciiTheme="minorHAnsi" w:hAnsiTheme="minorHAnsi" w:cs="Microsoft Sans Serif"/>
                <w:color w:val="000000"/>
                <w:szCs w:val="22"/>
              </w:rPr>
            </w:pPr>
            <w:r w:rsidRPr="00CB30BF">
              <w:rPr>
                <w:rFonts w:asciiTheme="minorHAnsi" w:hAnsiTheme="minorHAnsi" w:cs="Microsoft Sans Serif"/>
                <w:b/>
                <w:color w:val="000000"/>
                <w:szCs w:val="22"/>
              </w:rPr>
              <w:t>2.4</w:t>
            </w:r>
            <w:r w:rsidRPr="00472B50">
              <w:rPr>
                <w:rFonts w:asciiTheme="minorHAnsi" w:hAnsiTheme="minorHAnsi" w:cs="Microsoft Sans Serif"/>
                <w:color w:val="000000"/>
                <w:szCs w:val="22"/>
              </w:rPr>
              <w:t>. Período de amostragem</w:t>
            </w:r>
          </w:p>
          <w:p w:rsidR="00CB30BF" w:rsidRPr="00472B50" w:rsidRDefault="00CB30BF" w:rsidP="00CB30BF">
            <w:pPr>
              <w:pStyle w:val="Corpodetexto2"/>
              <w:spacing w:before="120" w:line="360" w:lineRule="auto"/>
              <w:rPr>
                <w:rFonts w:asciiTheme="minorHAnsi" w:hAnsiTheme="minorHAnsi" w:cs="Microsoft Sans Serif"/>
                <w:color w:val="000000"/>
                <w:szCs w:val="22"/>
              </w:rPr>
            </w:pPr>
            <w:r w:rsidRPr="00472B50">
              <w:rPr>
                <w:rFonts w:asciiTheme="minorHAnsi" w:hAnsiTheme="minorHAnsi" w:cs="Microsoft Sans Serif"/>
                <w:color w:val="000000"/>
                <w:szCs w:val="22"/>
              </w:rPr>
              <w:t>No primeiro ano de exploração a amostragem deve ser no mínimo de 15 dias em período seco. Caso se verifique a necessidade de efetuar monitorização anualmente, o período de amostragem poderá ser aumentado até 14% do ano (8 semanas distribuídas ao longo do ano) dependendo dos níveis registados.</w:t>
            </w:r>
          </w:p>
          <w:p w:rsidR="00CB30BF" w:rsidRPr="00472B50" w:rsidRDefault="00CB30BF" w:rsidP="00CB30BF">
            <w:pPr>
              <w:pStyle w:val="Corpodetexto2"/>
              <w:spacing w:before="120" w:line="360" w:lineRule="auto"/>
              <w:rPr>
                <w:rFonts w:asciiTheme="minorHAnsi" w:hAnsiTheme="minorHAnsi" w:cs="Microsoft Sans Serif"/>
                <w:color w:val="000000"/>
                <w:szCs w:val="22"/>
              </w:rPr>
            </w:pPr>
            <w:r w:rsidRPr="00CB30BF">
              <w:rPr>
                <w:rFonts w:asciiTheme="minorHAnsi" w:hAnsiTheme="minorHAnsi" w:cs="Microsoft Sans Serif"/>
                <w:b/>
                <w:color w:val="000000"/>
                <w:szCs w:val="22"/>
              </w:rPr>
              <w:t>2.5.</w:t>
            </w:r>
            <w:r w:rsidRPr="00472B50">
              <w:rPr>
                <w:rFonts w:asciiTheme="minorHAnsi" w:hAnsiTheme="minorHAnsi" w:cs="Microsoft Sans Serif"/>
                <w:color w:val="000000"/>
                <w:szCs w:val="22"/>
              </w:rPr>
              <w:t xml:space="preserve"> Localização em microescala dos pontos de amostragem</w:t>
            </w:r>
          </w:p>
          <w:p w:rsidR="00CB30BF" w:rsidRPr="00472B50" w:rsidRDefault="00CB30BF" w:rsidP="00CB30BF">
            <w:pPr>
              <w:pStyle w:val="Corpodetexto2"/>
              <w:spacing w:before="120" w:line="360" w:lineRule="auto"/>
              <w:rPr>
                <w:rFonts w:asciiTheme="minorHAnsi" w:hAnsiTheme="minorHAnsi" w:cs="Microsoft Sans Serif"/>
                <w:color w:val="000000"/>
                <w:szCs w:val="22"/>
              </w:rPr>
            </w:pPr>
            <w:r w:rsidRPr="00472B50">
              <w:rPr>
                <w:rFonts w:asciiTheme="minorHAnsi" w:hAnsiTheme="minorHAnsi" w:cs="Microsoft Sans Serif"/>
                <w:color w:val="000000"/>
                <w:szCs w:val="22"/>
              </w:rPr>
              <w:t>Deve basear-se nas indicações constantes na parte C do Anexo IV do Decreto-lei n.º 102/2010, de 23 de Setembro.</w:t>
            </w:r>
          </w:p>
          <w:p w:rsidR="00CB30BF" w:rsidRPr="00472B50" w:rsidRDefault="00CB30BF" w:rsidP="00CB30BF">
            <w:pPr>
              <w:pStyle w:val="Corpodetexto2"/>
              <w:spacing w:before="120" w:line="360" w:lineRule="auto"/>
              <w:rPr>
                <w:rFonts w:asciiTheme="minorHAnsi" w:hAnsiTheme="minorHAnsi" w:cs="Microsoft Sans Serif"/>
                <w:color w:val="000000"/>
                <w:szCs w:val="22"/>
              </w:rPr>
            </w:pPr>
            <w:r w:rsidRPr="00CB30BF">
              <w:rPr>
                <w:rFonts w:asciiTheme="minorHAnsi" w:hAnsiTheme="minorHAnsi" w:cs="Microsoft Sans Serif"/>
                <w:b/>
                <w:color w:val="000000"/>
                <w:szCs w:val="22"/>
              </w:rPr>
              <w:t>2.6.</w:t>
            </w:r>
            <w:r w:rsidRPr="00472B50">
              <w:rPr>
                <w:rFonts w:asciiTheme="minorHAnsi" w:hAnsiTheme="minorHAnsi" w:cs="Microsoft Sans Serif"/>
                <w:color w:val="000000"/>
                <w:szCs w:val="22"/>
              </w:rPr>
              <w:t xml:space="preserve"> Método de amostragem e análise</w:t>
            </w:r>
          </w:p>
          <w:p w:rsidR="00CB30BF" w:rsidRPr="00472B50" w:rsidRDefault="00CB30BF" w:rsidP="00CB30BF">
            <w:pPr>
              <w:pStyle w:val="Corpodetexto2"/>
              <w:spacing w:before="120" w:line="360" w:lineRule="auto"/>
              <w:rPr>
                <w:rFonts w:asciiTheme="minorHAnsi" w:hAnsiTheme="minorHAnsi" w:cs="Microsoft Sans Serif"/>
                <w:color w:val="000000"/>
                <w:szCs w:val="22"/>
              </w:rPr>
            </w:pPr>
            <w:r w:rsidRPr="00472B50">
              <w:rPr>
                <w:rFonts w:asciiTheme="minorHAnsi" w:hAnsiTheme="minorHAnsi" w:cs="Microsoft Sans Serif"/>
                <w:color w:val="000000"/>
                <w:szCs w:val="22"/>
              </w:rPr>
              <w:t>Deve seguir o método de referência para a amostragem e medição de PM10 que é o método descrito na norma EN 12341:1999 «Air Quality — Determination of the PM10 fraction of suspended particulate matter — Reference method and field test procedure to demonstrate reference equivalence of measurement methods»</w:t>
            </w:r>
          </w:p>
          <w:p w:rsidR="00CB30BF" w:rsidRPr="00472B50" w:rsidRDefault="00CB30BF" w:rsidP="00CB30BF">
            <w:pPr>
              <w:pStyle w:val="Corpodetexto2"/>
              <w:spacing w:before="120" w:line="360" w:lineRule="auto"/>
              <w:rPr>
                <w:rFonts w:asciiTheme="minorHAnsi" w:hAnsiTheme="minorHAnsi" w:cs="Microsoft Sans Serif"/>
                <w:color w:val="000000"/>
                <w:szCs w:val="22"/>
              </w:rPr>
            </w:pPr>
            <w:r w:rsidRPr="00CB30BF">
              <w:rPr>
                <w:rFonts w:asciiTheme="minorHAnsi" w:hAnsiTheme="minorHAnsi" w:cs="Microsoft Sans Serif"/>
                <w:b/>
                <w:color w:val="000000"/>
                <w:szCs w:val="22"/>
              </w:rPr>
              <w:t>2.7.</w:t>
            </w:r>
            <w:r w:rsidRPr="00472B50">
              <w:rPr>
                <w:rFonts w:asciiTheme="minorHAnsi" w:hAnsiTheme="minorHAnsi" w:cs="Microsoft Sans Serif"/>
                <w:color w:val="000000"/>
                <w:szCs w:val="22"/>
              </w:rPr>
              <w:t xml:space="preserve"> Relatório e interpretação de resultados</w:t>
            </w:r>
          </w:p>
          <w:p w:rsidR="00CB30BF" w:rsidRPr="00472B50" w:rsidRDefault="00CB30BF" w:rsidP="00CB30BF">
            <w:pPr>
              <w:pStyle w:val="Corpodetexto2"/>
              <w:spacing w:before="120" w:line="360" w:lineRule="auto"/>
              <w:rPr>
                <w:rFonts w:asciiTheme="minorHAnsi" w:hAnsiTheme="minorHAnsi" w:cs="Microsoft Sans Serif"/>
                <w:color w:val="000000"/>
                <w:szCs w:val="22"/>
              </w:rPr>
            </w:pPr>
            <w:r w:rsidRPr="00472B50">
              <w:rPr>
                <w:rFonts w:asciiTheme="minorHAnsi" w:hAnsiTheme="minorHAnsi" w:cs="Microsoft Sans Serif"/>
                <w:color w:val="000000"/>
                <w:szCs w:val="22"/>
              </w:rPr>
              <w:t>A estrutura do relatório a entregar no final de cada ano em que tenham sido efetuadas amostragens deve seguir o definido no Anexo V relativo aos relatórios de monitorização da Portaria n.º 330/2001, de 2 de Abril, que fixa as normas técnicas para a estrutura da proposta de definição do âmbito do EIA (PDA) e normas técnicas para a estrutura do estudo do impacte ambiental (EIA). Os resultados obtidos devem ser analisados em conjunto com os resultados de estações fixas existentes na envolvente em localizações rurais de fundo devendo ser estimados os indicadores anuais para se avaliar o cumprimento da legislação em vigor para PM10. Devem ser integrados nos relatórios de monitorização para uma análise comparativa os resultados e as estimativas de concentrações apresentados no EIA e respetivo aditamento. Deverá também ser efetuada uma interpretação e apreciação dos resultados obtidos em função das condições meteorológicas observadas e do ritmo de laboração da pedreira, devendo também efetuar-se uma análise da eficácia das medidas adotadas para prevenir ou reduzir os impactes na qualidade do ar. Esta análise deverá ter em consideração a atividade das restantes pedreiras e outras fontes poluidoras nas proximidades da Pedreira, incluindo o tráfego associado ao funcionamento das mesmas. Nas conclusões do relatório deve ser apresentada uma proposta de revisão dos programas de monitorização e da periodicidade dos futuros relatórios de monitorização.</w:t>
            </w:r>
          </w:p>
          <w:p w:rsidR="00CB30BF" w:rsidRPr="00472B50" w:rsidRDefault="00054C42" w:rsidP="00CB30BF">
            <w:pPr>
              <w:pStyle w:val="Corpodetexto2"/>
              <w:spacing w:before="120" w:line="360" w:lineRule="auto"/>
              <w:rPr>
                <w:rFonts w:asciiTheme="minorHAnsi" w:hAnsiTheme="minorHAnsi" w:cs="Microsoft Sans Serif"/>
                <w:color w:val="000000"/>
                <w:szCs w:val="22"/>
              </w:rPr>
            </w:pPr>
            <w:r w:rsidRPr="00054C42">
              <w:rPr>
                <w:rFonts w:asciiTheme="minorHAnsi" w:hAnsiTheme="minorHAnsi" w:cs="Microsoft Sans Serif"/>
                <w:b/>
                <w:color w:val="000000"/>
                <w:szCs w:val="22"/>
              </w:rPr>
              <w:t>2.</w:t>
            </w:r>
            <w:r w:rsidR="00CB30BF" w:rsidRPr="00054C42">
              <w:rPr>
                <w:rFonts w:asciiTheme="minorHAnsi" w:hAnsiTheme="minorHAnsi" w:cs="Microsoft Sans Serif"/>
                <w:b/>
                <w:color w:val="000000"/>
                <w:szCs w:val="22"/>
              </w:rPr>
              <w:t>8.</w:t>
            </w:r>
            <w:r w:rsidR="00CB30BF" w:rsidRPr="00472B50">
              <w:rPr>
                <w:rFonts w:asciiTheme="minorHAnsi" w:hAnsiTheme="minorHAnsi" w:cs="Microsoft Sans Serif"/>
                <w:color w:val="000000"/>
                <w:szCs w:val="22"/>
              </w:rPr>
              <w:t xml:space="preserve"> Revisão do plano de mostragem</w:t>
            </w:r>
          </w:p>
          <w:p w:rsidR="00CB30BF" w:rsidRDefault="00CB30BF" w:rsidP="00CB30BF">
            <w:pPr>
              <w:spacing w:before="120" w:after="120" w:line="360" w:lineRule="auto"/>
              <w:rPr>
                <w:rFonts w:asciiTheme="minorHAnsi" w:hAnsiTheme="minorHAnsi" w:cs="Microsoft Sans Serif"/>
                <w:color w:val="000000"/>
                <w:szCs w:val="22"/>
              </w:rPr>
            </w:pPr>
            <w:r w:rsidRPr="00472B50">
              <w:rPr>
                <w:rFonts w:asciiTheme="minorHAnsi" w:hAnsiTheme="minorHAnsi" w:cs="Microsoft Sans Serif"/>
                <w:color w:val="000000"/>
                <w:szCs w:val="22"/>
              </w:rPr>
              <w:lastRenderedPageBreak/>
              <w:t>O plano de amostragem pode vir a ser alterado em função dos resultados das amostragens anteriores, de nova legislação, de novas diretrizes definidas pelas entidades competentes e ainda da ocorrência de reclamações.</w:t>
            </w:r>
          </w:p>
          <w:p w:rsidR="00054C42" w:rsidRPr="00472B50" w:rsidRDefault="00054C42" w:rsidP="00CB30BF">
            <w:pPr>
              <w:spacing w:before="120" w:after="120" w:line="360" w:lineRule="auto"/>
              <w:rPr>
                <w:rFonts w:asciiTheme="minorHAnsi" w:hAnsiTheme="minorHAnsi" w:cs="Microsoft Sans Serif"/>
                <w:color w:val="000000"/>
                <w:szCs w:val="22"/>
              </w:rPr>
            </w:pPr>
          </w:p>
          <w:p w:rsidR="00CB30BF" w:rsidRPr="00472B50" w:rsidRDefault="00CB30BF" w:rsidP="00CB30BF">
            <w:pPr>
              <w:spacing w:before="120" w:after="120" w:line="360" w:lineRule="auto"/>
              <w:rPr>
                <w:rFonts w:asciiTheme="minorHAnsi" w:hAnsiTheme="minorHAnsi" w:cs="Microsoft Sans Serif"/>
                <w:b/>
                <w:color w:val="000000"/>
                <w:szCs w:val="22"/>
              </w:rPr>
            </w:pPr>
            <w:r>
              <w:rPr>
                <w:rFonts w:asciiTheme="minorHAnsi" w:hAnsiTheme="minorHAnsi" w:cs="Microsoft Sans Serif"/>
                <w:b/>
                <w:color w:val="000000"/>
                <w:szCs w:val="22"/>
              </w:rPr>
              <w:t>3</w:t>
            </w:r>
            <w:r w:rsidRPr="00472B50">
              <w:rPr>
                <w:rFonts w:asciiTheme="minorHAnsi" w:hAnsiTheme="minorHAnsi" w:cs="Microsoft Sans Serif"/>
                <w:b/>
                <w:color w:val="000000"/>
                <w:szCs w:val="22"/>
              </w:rPr>
              <w:t>- RUIDO</w:t>
            </w:r>
          </w:p>
          <w:p w:rsidR="00CB30BF" w:rsidRPr="00472B50" w:rsidRDefault="00CB30BF" w:rsidP="00CB30BF">
            <w:pPr>
              <w:spacing w:before="120" w:after="120" w:line="360" w:lineRule="auto"/>
              <w:rPr>
                <w:rFonts w:asciiTheme="minorHAnsi" w:hAnsiTheme="minorHAnsi" w:cs="Arial"/>
                <w:szCs w:val="22"/>
              </w:rPr>
            </w:pPr>
            <w:r w:rsidRPr="00472B50">
              <w:rPr>
                <w:rFonts w:asciiTheme="minorHAnsi" w:hAnsiTheme="minorHAnsi" w:cs="Arial"/>
                <w:szCs w:val="22"/>
              </w:rPr>
              <w:t>Uma vez que foram identificados impactes negativos significativos e tendo em conta que um dos critérios de verificação da conformidade da qualidade acústica constante no RGR com o funcionamento da atividade extrativa, é ligeiramente ultrapassado, considera-se que deverá ser implementado um plano de monitorização de ruido ambiente, tal como consta no RGR, com a seguinte estrutura:</w:t>
            </w:r>
          </w:p>
          <w:p w:rsidR="00CB30BF" w:rsidRPr="00472B50" w:rsidRDefault="00CB30BF" w:rsidP="00CB30BF">
            <w:pPr>
              <w:spacing w:before="120" w:after="120" w:line="360" w:lineRule="auto"/>
              <w:rPr>
                <w:rFonts w:asciiTheme="minorHAnsi" w:hAnsiTheme="minorHAnsi" w:cs="Arial"/>
                <w:szCs w:val="22"/>
                <w:u w:val="single"/>
              </w:rPr>
            </w:pPr>
            <w:r w:rsidRPr="00472B50">
              <w:rPr>
                <w:rFonts w:asciiTheme="minorHAnsi" w:hAnsiTheme="minorHAnsi" w:cs="Arial"/>
                <w:szCs w:val="22"/>
                <w:u w:val="single"/>
              </w:rPr>
              <w:t>Objetivos da monitorização</w:t>
            </w:r>
          </w:p>
          <w:p w:rsidR="00CB30BF" w:rsidRPr="00472B50" w:rsidRDefault="00CB30BF" w:rsidP="00CB30BF">
            <w:pPr>
              <w:spacing w:before="120" w:after="120" w:line="360" w:lineRule="auto"/>
              <w:rPr>
                <w:rFonts w:asciiTheme="minorHAnsi" w:hAnsiTheme="minorHAnsi" w:cs="Arial"/>
                <w:szCs w:val="22"/>
              </w:rPr>
            </w:pPr>
            <w:r w:rsidRPr="00472B50">
              <w:rPr>
                <w:rFonts w:asciiTheme="minorHAnsi" w:hAnsiTheme="minorHAnsi" w:cs="Arial"/>
                <w:szCs w:val="22"/>
              </w:rPr>
              <w:t>- Verificação do cumprimento do n.º 1 do artigo 13.º do RGR;</w:t>
            </w:r>
          </w:p>
          <w:p w:rsidR="00CB30BF" w:rsidRPr="00472B50" w:rsidRDefault="00CB30BF" w:rsidP="00CB30BF">
            <w:pPr>
              <w:spacing w:before="120" w:after="120" w:line="360" w:lineRule="auto"/>
              <w:rPr>
                <w:rFonts w:asciiTheme="minorHAnsi" w:hAnsiTheme="minorHAnsi" w:cs="Arial"/>
                <w:szCs w:val="22"/>
              </w:rPr>
            </w:pPr>
            <w:r w:rsidRPr="00472B50">
              <w:rPr>
                <w:rFonts w:asciiTheme="minorHAnsi" w:hAnsiTheme="minorHAnsi" w:cs="Arial"/>
                <w:szCs w:val="22"/>
              </w:rPr>
              <w:t>- Verificação dos resultados obtidos no exercício de previsão dos níveis sonoros.</w:t>
            </w:r>
          </w:p>
          <w:p w:rsidR="00CB30BF" w:rsidRPr="00472B50" w:rsidRDefault="00CB30BF" w:rsidP="00CB30BF">
            <w:pPr>
              <w:spacing w:before="120" w:after="120" w:line="360" w:lineRule="auto"/>
              <w:rPr>
                <w:rFonts w:asciiTheme="minorHAnsi" w:hAnsiTheme="minorHAnsi" w:cs="Arial"/>
                <w:szCs w:val="22"/>
                <w:u w:val="single"/>
              </w:rPr>
            </w:pPr>
            <w:r w:rsidRPr="00472B50">
              <w:rPr>
                <w:rFonts w:asciiTheme="minorHAnsi" w:hAnsiTheme="minorHAnsi" w:cs="Arial"/>
                <w:szCs w:val="22"/>
                <w:u w:val="single"/>
              </w:rPr>
              <w:t>Parâmetros /indicadores a medir</w:t>
            </w:r>
          </w:p>
          <w:p w:rsidR="00CB30BF" w:rsidRPr="00472B50" w:rsidRDefault="00CB30BF" w:rsidP="00CB30BF">
            <w:pPr>
              <w:spacing w:before="120" w:after="120" w:line="360" w:lineRule="auto"/>
              <w:rPr>
                <w:rFonts w:asciiTheme="minorHAnsi" w:hAnsiTheme="minorHAnsi" w:cs="Arial"/>
                <w:szCs w:val="22"/>
              </w:rPr>
            </w:pPr>
            <w:r w:rsidRPr="00472B50">
              <w:rPr>
                <w:rFonts w:asciiTheme="minorHAnsi" w:hAnsiTheme="minorHAnsi" w:cs="Arial"/>
                <w:szCs w:val="22"/>
              </w:rPr>
              <w:t>- Determinação dos indicadores de ruído diurno-entardecer-noturno, L</w:t>
            </w:r>
            <w:r w:rsidRPr="00472B50">
              <w:rPr>
                <w:rFonts w:asciiTheme="minorHAnsi" w:hAnsiTheme="minorHAnsi" w:cs="Arial"/>
                <w:szCs w:val="22"/>
                <w:vertAlign w:val="subscript"/>
              </w:rPr>
              <w:t xml:space="preserve">den </w:t>
            </w:r>
            <w:r w:rsidRPr="00472B50">
              <w:rPr>
                <w:rFonts w:asciiTheme="minorHAnsi" w:hAnsiTheme="minorHAnsi" w:cs="Arial"/>
                <w:szCs w:val="22"/>
              </w:rPr>
              <w:t>(L</w:t>
            </w:r>
            <w:r w:rsidRPr="00472B50">
              <w:rPr>
                <w:rFonts w:asciiTheme="minorHAnsi" w:hAnsiTheme="minorHAnsi" w:cs="Arial"/>
                <w:szCs w:val="22"/>
                <w:vertAlign w:val="subscript"/>
              </w:rPr>
              <w:t>d</w:t>
            </w:r>
            <w:r w:rsidRPr="00472B50">
              <w:rPr>
                <w:rFonts w:asciiTheme="minorHAnsi" w:hAnsiTheme="minorHAnsi" w:cs="Arial"/>
                <w:szCs w:val="22"/>
              </w:rPr>
              <w:t>, L</w:t>
            </w:r>
            <w:r w:rsidRPr="00472B50">
              <w:rPr>
                <w:rFonts w:asciiTheme="minorHAnsi" w:hAnsiTheme="minorHAnsi" w:cs="Arial"/>
                <w:szCs w:val="22"/>
                <w:vertAlign w:val="subscript"/>
              </w:rPr>
              <w:t>e</w:t>
            </w:r>
            <w:r w:rsidRPr="00472B50">
              <w:rPr>
                <w:rFonts w:asciiTheme="minorHAnsi" w:hAnsiTheme="minorHAnsi" w:cs="Arial"/>
                <w:szCs w:val="22"/>
              </w:rPr>
              <w:t>, L</w:t>
            </w:r>
            <w:r w:rsidRPr="00472B50">
              <w:rPr>
                <w:rFonts w:asciiTheme="minorHAnsi" w:hAnsiTheme="minorHAnsi" w:cs="Arial"/>
                <w:szCs w:val="22"/>
                <w:vertAlign w:val="subscript"/>
              </w:rPr>
              <w:t>n</w:t>
            </w:r>
            <w:r w:rsidRPr="00472B50">
              <w:rPr>
                <w:rFonts w:asciiTheme="minorHAnsi" w:hAnsiTheme="minorHAnsi" w:cs="Arial"/>
                <w:szCs w:val="22"/>
              </w:rPr>
              <w:t>);</w:t>
            </w:r>
          </w:p>
          <w:p w:rsidR="00CB30BF" w:rsidRPr="00472B50" w:rsidRDefault="00CB30BF" w:rsidP="00CB30BF">
            <w:pPr>
              <w:spacing w:before="120" w:after="120" w:line="360" w:lineRule="auto"/>
              <w:rPr>
                <w:rFonts w:asciiTheme="minorHAnsi" w:hAnsiTheme="minorHAnsi" w:cs="Arial"/>
                <w:szCs w:val="22"/>
              </w:rPr>
            </w:pPr>
            <w:r w:rsidRPr="00472B50">
              <w:rPr>
                <w:rFonts w:asciiTheme="minorHAnsi" w:hAnsiTheme="minorHAnsi" w:cs="Arial"/>
                <w:szCs w:val="22"/>
              </w:rPr>
              <w:t>- Determinação do nível sonoro contínuo, ponderado A, L</w:t>
            </w:r>
            <w:r w:rsidRPr="00472B50">
              <w:rPr>
                <w:rFonts w:asciiTheme="minorHAnsi" w:hAnsiTheme="minorHAnsi" w:cs="Arial"/>
                <w:szCs w:val="22"/>
                <w:vertAlign w:val="subscript"/>
              </w:rPr>
              <w:t xml:space="preserve">Aeq </w:t>
            </w:r>
            <w:r w:rsidRPr="00472B50">
              <w:rPr>
                <w:rFonts w:asciiTheme="minorHAnsi" w:hAnsiTheme="minorHAnsi" w:cs="Arial"/>
                <w:szCs w:val="22"/>
              </w:rPr>
              <w:t>do ruído ambiente e do ruído residual.</w:t>
            </w:r>
          </w:p>
          <w:p w:rsidR="00CB30BF" w:rsidRPr="00472B50" w:rsidRDefault="00CB30BF" w:rsidP="00CB30BF">
            <w:pPr>
              <w:spacing w:before="120" w:after="120" w:line="360" w:lineRule="auto"/>
              <w:rPr>
                <w:rFonts w:asciiTheme="minorHAnsi" w:hAnsiTheme="minorHAnsi" w:cs="Arial"/>
                <w:szCs w:val="22"/>
                <w:u w:val="single"/>
              </w:rPr>
            </w:pPr>
            <w:r w:rsidRPr="00472B50">
              <w:rPr>
                <w:rFonts w:asciiTheme="minorHAnsi" w:hAnsiTheme="minorHAnsi" w:cs="Arial"/>
                <w:szCs w:val="22"/>
                <w:u w:val="single"/>
              </w:rPr>
              <w:t>Locais de amostragem</w:t>
            </w:r>
          </w:p>
          <w:p w:rsidR="00CB30BF" w:rsidRPr="00472B50" w:rsidRDefault="00CB30BF" w:rsidP="00CB30BF">
            <w:pPr>
              <w:spacing w:before="120" w:after="120" w:line="360" w:lineRule="auto"/>
              <w:rPr>
                <w:rFonts w:asciiTheme="minorHAnsi" w:hAnsiTheme="minorHAnsi" w:cs="Arial"/>
                <w:szCs w:val="22"/>
              </w:rPr>
            </w:pPr>
            <w:r w:rsidRPr="00472B50">
              <w:rPr>
                <w:rFonts w:asciiTheme="minorHAnsi" w:hAnsiTheme="minorHAnsi" w:cs="Arial"/>
                <w:szCs w:val="22"/>
              </w:rPr>
              <w:t>- No local selecionado na caracterização da situação de referência, correspondente ao mais próximo da pedreira (situado a 390 metros a sul)</w:t>
            </w:r>
          </w:p>
          <w:p w:rsidR="00CB30BF" w:rsidRPr="00472B50" w:rsidRDefault="00CB30BF" w:rsidP="00CB30BF">
            <w:pPr>
              <w:spacing w:before="120" w:after="120" w:line="360" w:lineRule="auto"/>
              <w:rPr>
                <w:rFonts w:asciiTheme="minorHAnsi" w:hAnsiTheme="minorHAnsi" w:cs="Arial"/>
                <w:szCs w:val="22"/>
              </w:rPr>
            </w:pPr>
            <w:r w:rsidRPr="00472B50">
              <w:rPr>
                <w:rFonts w:asciiTheme="minorHAnsi" w:hAnsiTheme="minorHAnsi" w:cs="Arial"/>
                <w:szCs w:val="22"/>
              </w:rPr>
              <w:t>- Novos locais, a ponderar caso venham a existir eventuais reclamações da população.</w:t>
            </w:r>
          </w:p>
          <w:p w:rsidR="00CB30BF" w:rsidRPr="00472B50" w:rsidRDefault="00CB30BF" w:rsidP="00CB30BF">
            <w:pPr>
              <w:spacing w:before="120" w:after="120" w:line="360" w:lineRule="auto"/>
              <w:rPr>
                <w:rFonts w:asciiTheme="minorHAnsi" w:hAnsiTheme="minorHAnsi" w:cs="Arial"/>
                <w:szCs w:val="22"/>
                <w:u w:val="single"/>
              </w:rPr>
            </w:pPr>
            <w:r w:rsidRPr="00472B50">
              <w:rPr>
                <w:rFonts w:asciiTheme="minorHAnsi" w:hAnsiTheme="minorHAnsi" w:cs="Arial"/>
                <w:szCs w:val="22"/>
                <w:u w:val="single"/>
              </w:rPr>
              <w:t>Frequência de amostragem</w:t>
            </w:r>
          </w:p>
          <w:p w:rsidR="00CB30BF" w:rsidRPr="00472B50" w:rsidRDefault="00CB30BF" w:rsidP="00CB30BF">
            <w:pPr>
              <w:spacing w:before="120" w:after="120" w:line="360" w:lineRule="auto"/>
              <w:rPr>
                <w:rFonts w:asciiTheme="minorHAnsi" w:hAnsiTheme="minorHAnsi" w:cs="Arial"/>
                <w:szCs w:val="22"/>
              </w:rPr>
            </w:pPr>
            <w:r w:rsidRPr="00472B50">
              <w:rPr>
                <w:rFonts w:asciiTheme="minorHAnsi" w:hAnsiTheme="minorHAnsi" w:cs="Arial"/>
                <w:szCs w:val="22"/>
              </w:rPr>
              <w:t>Medição a efetuar em períodos representativos dos ruídos de interesse, durante o primeiro ano, a contar da data imediatamente à regularização da atividade.</w:t>
            </w:r>
          </w:p>
          <w:p w:rsidR="00CB30BF" w:rsidRPr="00472B50" w:rsidRDefault="00CB30BF" w:rsidP="00CB30BF">
            <w:pPr>
              <w:spacing w:before="120" w:after="120" w:line="360" w:lineRule="auto"/>
              <w:rPr>
                <w:rFonts w:asciiTheme="minorHAnsi" w:hAnsiTheme="minorHAnsi" w:cs="Arial"/>
                <w:szCs w:val="22"/>
                <w:u w:val="single"/>
              </w:rPr>
            </w:pPr>
            <w:r w:rsidRPr="00472B50">
              <w:rPr>
                <w:rFonts w:asciiTheme="minorHAnsi" w:hAnsiTheme="minorHAnsi" w:cs="Arial"/>
                <w:szCs w:val="22"/>
                <w:u w:val="single"/>
              </w:rPr>
              <w:t>Técnicas e métodos de análise</w:t>
            </w:r>
          </w:p>
          <w:p w:rsidR="00CB30BF" w:rsidRPr="00472B50" w:rsidRDefault="00CB30BF" w:rsidP="00CB30BF">
            <w:pPr>
              <w:spacing w:before="120" w:after="120" w:line="360" w:lineRule="auto"/>
              <w:rPr>
                <w:rFonts w:asciiTheme="minorHAnsi" w:hAnsiTheme="minorHAnsi" w:cs="Arial"/>
                <w:szCs w:val="22"/>
              </w:rPr>
            </w:pPr>
            <w:r w:rsidRPr="00472B50">
              <w:rPr>
                <w:rFonts w:asciiTheme="minorHAnsi" w:hAnsiTheme="minorHAnsi" w:cs="Arial"/>
                <w:szCs w:val="22"/>
              </w:rPr>
              <w:t>Normalização e legislação aplicáveis.</w:t>
            </w:r>
          </w:p>
          <w:p w:rsidR="00CB30BF" w:rsidRPr="00472B50" w:rsidRDefault="00CB30BF" w:rsidP="00CB30BF">
            <w:pPr>
              <w:spacing w:before="120" w:after="120" w:line="360" w:lineRule="auto"/>
              <w:rPr>
                <w:rFonts w:asciiTheme="minorHAnsi" w:hAnsiTheme="minorHAnsi" w:cs="Arial"/>
                <w:szCs w:val="22"/>
                <w:u w:val="single"/>
              </w:rPr>
            </w:pPr>
            <w:r w:rsidRPr="00472B50">
              <w:rPr>
                <w:rFonts w:asciiTheme="minorHAnsi" w:hAnsiTheme="minorHAnsi" w:cs="Arial"/>
                <w:szCs w:val="22"/>
                <w:u w:val="single"/>
              </w:rPr>
              <w:t>Critérios de análise</w:t>
            </w:r>
          </w:p>
          <w:p w:rsidR="00CB30BF" w:rsidRPr="00472B50" w:rsidRDefault="00CB30BF" w:rsidP="00CB30BF">
            <w:pPr>
              <w:spacing w:before="120" w:after="120" w:line="360" w:lineRule="auto"/>
              <w:rPr>
                <w:rFonts w:asciiTheme="minorHAnsi" w:hAnsiTheme="minorHAnsi" w:cs="Arial"/>
                <w:szCs w:val="22"/>
              </w:rPr>
            </w:pPr>
            <w:r w:rsidRPr="00472B50">
              <w:rPr>
                <w:rFonts w:asciiTheme="minorHAnsi" w:hAnsiTheme="minorHAnsi" w:cs="Arial"/>
                <w:szCs w:val="22"/>
              </w:rPr>
              <w:t>Verificação da incomodidade sonora e da exposição máxima ao ruído ambiente exterior.</w:t>
            </w:r>
          </w:p>
          <w:p w:rsidR="00CB30BF" w:rsidRPr="00472B50" w:rsidRDefault="00CB30BF" w:rsidP="00CB30BF">
            <w:pPr>
              <w:spacing w:before="120" w:after="120" w:line="360" w:lineRule="auto"/>
              <w:rPr>
                <w:rFonts w:asciiTheme="minorHAnsi" w:hAnsiTheme="minorHAnsi" w:cs="Arial"/>
                <w:szCs w:val="22"/>
                <w:u w:val="single"/>
              </w:rPr>
            </w:pPr>
            <w:r w:rsidRPr="00472B50">
              <w:rPr>
                <w:rFonts w:asciiTheme="minorHAnsi" w:hAnsiTheme="minorHAnsi" w:cs="Arial"/>
                <w:szCs w:val="22"/>
                <w:u w:val="single"/>
              </w:rPr>
              <w:t>Periodicidade das campanhas de monitorização</w:t>
            </w:r>
          </w:p>
          <w:p w:rsidR="00CB30BF" w:rsidRPr="00472B50" w:rsidRDefault="00CB30BF" w:rsidP="00CB30BF">
            <w:pPr>
              <w:spacing w:before="120" w:after="120" w:line="360" w:lineRule="auto"/>
              <w:rPr>
                <w:rFonts w:asciiTheme="minorHAnsi" w:hAnsiTheme="minorHAnsi" w:cs="Arial"/>
                <w:szCs w:val="22"/>
              </w:rPr>
            </w:pPr>
            <w:r w:rsidRPr="00472B50">
              <w:rPr>
                <w:rFonts w:asciiTheme="minorHAnsi" w:hAnsiTheme="minorHAnsi" w:cs="Arial"/>
                <w:szCs w:val="22"/>
              </w:rPr>
              <w:t xml:space="preserve">Anual: primeira campanha, no decorrer do primeiro ano após a data de regularização da exploração da </w:t>
            </w:r>
            <w:r w:rsidRPr="00472B50">
              <w:rPr>
                <w:rFonts w:asciiTheme="minorHAnsi" w:hAnsiTheme="minorHAnsi" w:cs="Arial"/>
                <w:szCs w:val="22"/>
              </w:rPr>
              <w:lastRenderedPageBreak/>
              <w:t xml:space="preserve">pedreira. </w:t>
            </w:r>
          </w:p>
          <w:p w:rsidR="00CB30BF" w:rsidRPr="00472B50" w:rsidRDefault="00CB30BF" w:rsidP="00CB30BF">
            <w:pPr>
              <w:spacing w:before="120" w:after="120" w:line="360" w:lineRule="auto"/>
              <w:rPr>
                <w:rFonts w:asciiTheme="minorHAnsi" w:hAnsiTheme="minorHAnsi" w:cs="Arial"/>
                <w:szCs w:val="22"/>
              </w:rPr>
            </w:pPr>
            <w:r w:rsidRPr="00472B50">
              <w:rPr>
                <w:rFonts w:asciiTheme="minorHAnsi" w:hAnsiTheme="minorHAnsi" w:cs="Arial"/>
                <w:szCs w:val="22"/>
              </w:rPr>
              <w:t>Nos anos seguintes, a periodicidade será ponderada em função dos resultados que vierem a ser obtidos na primeira campanha de monitorização.</w:t>
            </w:r>
          </w:p>
          <w:p w:rsidR="00CB30BF" w:rsidRPr="00472B50" w:rsidRDefault="00CB30BF" w:rsidP="00CB30BF">
            <w:pPr>
              <w:spacing w:before="120" w:after="120" w:line="360" w:lineRule="auto"/>
              <w:rPr>
                <w:rFonts w:asciiTheme="minorHAnsi" w:hAnsiTheme="minorHAnsi" w:cs="Arial"/>
                <w:szCs w:val="22"/>
                <w:u w:val="single"/>
              </w:rPr>
            </w:pPr>
            <w:r w:rsidRPr="00472B50">
              <w:rPr>
                <w:rFonts w:asciiTheme="minorHAnsi" w:hAnsiTheme="minorHAnsi" w:cs="Arial"/>
                <w:szCs w:val="22"/>
                <w:u w:val="single"/>
              </w:rPr>
              <w:t>Periodicidade dos relatórios de monitorização</w:t>
            </w:r>
          </w:p>
          <w:p w:rsidR="00CB30BF" w:rsidRPr="00CB30BF" w:rsidRDefault="00CB30BF" w:rsidP="00CB30BF">
            <w:pPr>
              <w:spacing w:before="120" w:after="120" w:line="360" w:lineRule="auto"/>
              <w:rPr>
                <w:rFonts w:asciiTheme="minorHAnsi" w:hAnsiTheme="minorHAnsi" w:cs="Arial"/>
                <w:szCs w:val="22"/>
              </w:rPr>
            </w:pPr>
            <w:r w:rsidRPr="00472B50">
              <w:rPr>
                <w:rFonts w:asciiTheme="minorHAnsi" w:hAnsiTheme="minorHAnsi" w:cs="Arial"/>
                <w:szCs w:val="22"/>
              </w:rPr>
              <w:t>Idêntica à preconizada para a periodicidade das campanhas de monitorização.</w:t>
            </w:r>
          </w:p>
        </w:tc>
      </w:tr>
    </w:tbl>
    <w:p w:rsidR="003B4E34" w:rsidRPr="004C079D" w:rsidRDefault="003B4E34">
      <w:pPr>
        <w:spacing w:before="0"/>
        <w:jc w:val="center"/>
        <w:rPr>
          <w:rFonts w:asciiTheme="minorHAnsi" w:hAnsiTheme="minorHAnsi"/>
          <w:szCs w:val="22"/>
          <w:highlight w:val="yellow"/>
        </w:rPr>
      </w:pPr>
    </w:p>
    <w:p w:rsidR="0040789B" w:rsidRPr="004C079D" w:rsidRDefault="0040789B">
      <w:pPr>
        <w:spacing w:before="0"/>
        <w:jc w:val="center"/>
        <w:rPr>
          <w:rFonts w:asciiTheme="minorHAnsi" w:hAnsiTheme="minorHAnsi"/>
          <w:szCs w:val="22"/>
          <w:highlight w:val="yellow"/>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200"/>
      </w:tblGrid>
      <w:tr w:rsidR="003B4E34" w:rsidRPr="004C079D">
        <w:tc>
          <w:tcPr>
            <w:tcW w:w="2520" w:type="dxa"/>
            <w:tcBorders>
              <w:top w:val="single" w:sz="4" w:space="0" w:color="auto"/>
              <w:left w:val="single" w:sz="4" w:space="0" w:color="auto"/>
              <w:bottom w:val="single" w:sz="4" w:space="0" w:color="auto"/>
              <w:right w:val="single" w:sz="4" w:space="0" w:color="auto"/>
            </w:tcBorders>
            <w:shd w:val="clear" w:color="auto" w:fill="D6E3BC"/>
            <w:vAlign w:val="center"/>
          </w:tcPr>
          <w:p w:rsidR="003B4E34" w:rsidRPr="004C079D" w:rsidRDefault="003B4E34" w:rsidP="001F1BE7">
            <w:pPr>
              <w:spacing w:before="120" w:after="120"/>
              <w:jc w:val="center"/>
              <w:rPr>
                <w:rFonts w:asciiTheme="minorHAnsi" w:hAnsiTheme="minorHAnsi" w:cs="Arial"/>
                <w:b/>
                <w:noProof/>
                <w:szCs w:val="22"/>
              </w:rPr>
            </w:pPr>
            <w:r w:rsidRPr="004C079D">
              <w:rPr>
                <w:rFonts w:asciiTheme="minorHAnsi" w:hAnsiTheme="minorHAnsi" w:cs="Arial"/>
                <w:b/>
                <w:noProof/>
                <w:szCs w:val="22"/>
              </w:rPr>
              <w:t>Validade da DIA:</w:t>
            </w:r>
          </w:p>
        </w:tc>
        <w:tc>
          <w:tcPr>
            <w:tcW w:w="7200" w:type="dxa"/>
            <w:tcBorders>
              <w:top w:val="single" w:sz="4" w:space="0" w:color="auto"/>
              <w:left w:val="single" w:sz="4" w:space="0" w:color="auto"/>
              <w:bottom w:val="single" w:sz="4" w:space="0" w:color="auto"/>
              <w:right w:val="single" w:sz="4" w:space="0" w:color="auto"/>
            </w:tcBorders>
            <w:vAlign w:val="center"/>
          </w:tcPr>
          <w:p w:rsidR="003B4E34" w:rsidRPr="004C079D" w:rsidRDefault="001D7922" w:rsidP="001D7922">
            <w:pPr>
              <w:spacing w:before="120" w:after="120" w:line="360" w:lineRule="auto"/>
              <w:rPr>
                <w:rFonts w:asciiTheme="minorHAnsi" w:hAnsiTheme="minorHAnsi" w:cs="Arial"/>
                <w:noProof/>
                <w:szCs w:val="22"/>
              </w:rPr>
            </w:pPr>
            <w:r>
              <w:rPr>
                <w:rFonts w:asciiTheme="minorHAnsi" w:hAnsiTheme="minorHAnsi" w:cs="Arial"/>
                <w:noProof/>
                <w:szCs w:val="22"/>
              </w:rPr>
              <w:t>9</w:t>
            </w:r>
            <w:r w:rsidR="007F052B">
              <w:rPr>
                <w:rFonts w:asciiTheme="minorHAnsi" w:hAnsiTheme="minorHAnsi" w:cs="Arial"/>
                <w:noProof/>
                <w:szCs w:val="22"/>
              </w:rPr>
              <w:t>.0</w:t>
            </w:r>
            <w:r>
              <w:rPr>
                <w:rFonts w:asciiTheme="minorHAnsi" w:hAnsiTheme="minorHAnsi" w:cs="Arial"/>
                <w:noProof/>
                <w:szCs w:val="22"/>
              </w:rPr>
              <w:t>2</w:t>
            </w:r>
            <w:r w:rsidR="007F052B">
              <w:rPr>
                <w:rFonts w:asciiTheme="minorHAnsi" w:hAnsiTheme="minorHAnsi" w:cs="Arial"/>
                <w:noProof/>
                <w:szCs w:val="22"/>
              </w:rPr>
              <w:t>.2019</w:t>
            </w:r>
          </w:p>
        </w:tc>
      </w:tr>
    </w:tbl>
    <w:p w:rsidR="003B4E34" w:rsidRPr="004C079D" w:rsidRDefault="003B4E34">
      <w:pPr>
        <w:spacing w:before="0"/>
        <w:jc w:val="center"/>
        <w:rPr>
          <w:rFonts w:asciiTheme="minorHAnsi" w:hAnsiTheme="minorHAnsi"/>
          <w:szCs w:val="22"/>
          <w:highlight w:val="yellow"/>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200"/>
      </w:tblGrid>
      <w:tr w:rsidR="003B4E34" w:rsidRPr="004C079D">
        <w:tc>
          <w:tcPr>
            <w:tcW w:w="2520" w:type="dxa"/>
            <w:tcBorders>
              <w:top w:val="single" w:sz="4" w:space="0" w:color="auto"/>
              <w:left w:val="single" w:sz="4" w:space="0" w:color="auto"/>
              <w:bottom w:val="single" w:sz="4" w:space="0" w:color="auto"/>
              <w:right w:val="single" w:sz="4" w:space="0" w:color="auto"/>
            </w:tcBorders>
            <w:shd w:val="clear" w:color="auto" w:fill="D6E3BC"/>
            <w:vAlign w:val="center"/>
          </w:tcPr>
          <w:p w:rsidR="003B4E34" w:rsidRPr="004C079D" w:rsidRDefault="003B4E34" w:rsidP="00003D45">
            <w:pPr>
              <w:spacing w:before="120" w:after="120"/>
              <w:jc w:val="center"/>
              <w:rPr>
                <w:rFonts w:asciiTheme="minorHAnsi" w:hAnsiTheme="minorHAnsi" w:cs="Arial"/>
                <w:b/>
                <w:noProof/>
                <w:szCs w:val="22"/>
              </w:rPr>
            </w:pPr>
            <w:r w:rsidRPr="004C079D">
              <w:rPr>
                <w:rFonts w:asciiTheme="minorHAnsi" w:hAnsiTheme="minorHAnsi" w:cs="Arial"/>
                <w:b/>
                <w:noProof/>
                <w:szCs w:val="22"/>
              </w:rPr>
              <w:t>Entidade de verificação da DIA</w:t>
            </w:r>
          </w:p>
        </w:tc>
        <w:tc>
          <w:tcPr>
            <w:tcW w:w="7200" w:type="dxa"/>
            <w:tcBorders>
              <w:top w:val="single" w:sz="4" w:space="0" w:color="auto"/>
              <w:left w:val="single" w:sz="4" w:space="0" w:color="auto"/>
              <w:bottom w:val="single" w:sz="4" w:space="0" w:color="auto"/>
              <w:right w:val="single" w:sz="4" w:space="0" w:color="auto"/>
            </w:tcBorders>
            <w:vAlign w:val="center"/>
          </w:tcPr>
          <w:p w:rsidR="00A03D8A" w:rsidRDefault="00F21039" w:rsidP="00FB7653">
            <w:pPr>
              <w:spacing w:before="120" w:after="120"/>
              <w:jc w:val="left"/>
              <w:rPr>
                <w:rFonts w:asciiTheme="minorHAnsi" w:hAnsiTheme="minorHAnsi" w:cs="Arial"/>
                <w:szCs w:val="22"/>
              </w:rPr>
            </w:pPr>
            <w:r w:rsidRPr="004C079D">
              <w:rPr>
                <w:rFonts w:asciiTheme="minorHAnsi" w:hAnsiTheme="minorHAnsi" w:cs="Arial"/>
                <w:b/>
                <w:szCs w:val="22"/>
              </w:rPr>
              <w:t>Condicionantes</w:t>
            </w:r>
            <w:r w:rsidRPr="004C079D">
              <w:rPr>
                <w:rFonts w:asciiTheme="minorHAnsi" w:hAnsiTheme="minorHAnsi" w:cs="Arial"/>
                <w:szCs w:val="22"/>
              </w:rPr>
              <w:t xml:space="preserve"> – Autoridade de AIA</w:t>
            </w:r>
          </w:p>
          <w:p w:rsidR="00CE1C17" w:rsidRPr="004C079D" w:rsidRDefault="00CE1C17" w:rsidP="00FB7653">
            <w:pPr>
              <w:spacing w:before="120" w:after="120"/>
              <w:jc w:val="left"/>
              <w:rPr>
                <w:rFonts w:asciiTheme="minorHAnsi" w:hAnsiTheme="minorHAnsi" w:cs="Arial"/>
                <w:szCs w:val="22"/>
              </w:rPr>
            </w:pPr>
            <w:r w:rsidRPr="00CE1C17">
              <w:rPr>
                <w:rFonts w:asciiTheme="minorHAnsi" w:hAnsiTheme="minorHAnsi" w:cs="Arial"/>
                <w:b/>
                <w:szCs w:val="22"/>
              </w:rPr>
              <w:t>Elementos a entregar em sede de licenciamento</w:t>
            </w:r>
            <w:r>
              <w:rPr>
                <w:rFonts w:asciiTheme="minorHAnsi" w:hAnsiTheme="minorHAnsi" w:cs="Arial"/>
                <w:szCs w:val="22"/>
              </w:rPr>
              <w:t xml:space="preserve"> – Entidade Licenciadora</w:t>
            </w:r>
          </w:p>
        </w:tc>
      </w:tr>
    </w:tbl>
    <w:p w:rsidR="003B4E34" w:rsidRPr="004C079D" w:rsidRDefault="003B4E34">
      <w:pPr>
        <w:spacing w:before="0"/>
        <w:jc w:val="center"/>
        <w:rPr>
          <w:rFonts w:asciiTheme="minorHAnsi" w:hAnsiTheme="minorHAnsi"/>
          <w:szCs w:val="22"/>
          <w:highlight w:val="yellow"/>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200"/>
      </w:tblGrid>
      <w:tr w:rsidR="003B4E34" w:rsidRPr="004C079D">
        <w:tc>
          <w:tcPr>
            <w:tcW w:w="2520" w:type="dxa"/>
            <w:tcBorders>
              <w:top w:val="single" w:sz="4" w:space="0" w:color="auto"/>
              <w:left w:val="single" w:sz="4" w:space="0" w:color="auto"/>
              <w:bottom w:val="single" w:sz="4" w:space="0" w:color="auto"/>
              <w:right w:val="single" w:sz="4" w:space="0" w:color="auto"/>
            </w:tcBorders>
            <w:shd w:val="clear" w:color="auto" w:fill="D6E3BC"/>
            <w:vAlign w:val="center"/>
          </w:tcPr>
          <w:p w:rsidR="003B4E34" w:rsidRPr="004C079D" w:rsidRDefault="003B4E34" w:rsidP="001F1BE7">
            <w:pPr>
              <w:spacing w:before="120" w:after="120"/>
              <w:jc w:val="center"/>
              <w:rPr>
                <w:rFonts w:asciiTheme="minorHAnsi" w:hAnsiTheme="minorHAnsi" w:cs="Arial"/>
                <w:b/>
                <w:noProof/>
                <w:szCs w:val="22"/>
              </w:rPr>
            </w:pPr>
            <w:r w:rsidRPr="004C079D">
              <w:rPr>
                <w:rFonts w:asciiTheme="minorHAnsi" w:hAnsiTheme="minorHAnsi" w:cs="Arial"/>
                <w:b/>
                <w:noProof/>
                <w:szCs w:val="22"/>
              </w:rPr>
              <w:t>Assinatura:</w:t>
            </w:r>
          </w:p>
        </w:tc>
        <w:tc>
          <w:tcPr>
            <w:tcW w:w="7200" w:type="dxa"/>
            <w:tcBorders>
              <w:top w:val="single" w:sz="4" w:space="0" w:color="auto"/>
              <w:left w:val="single" w:sz="4" w:space="0" w:color="auto"/>
              <w:bottom w:val="single" w:sz="4" w:space="0" w:color="auto"/>
              <w:right w:val="single" w:sz="4" w:space="0" w:color="auto"/>
            </w:tcBorders>
            <w:vAlign w:val="center"/>
          </w:tcPr>
          <w:p w:rsidR="003B4E34" w:rsidRPr="004C079D" w:rsidRDefault="008E426B" w:rsidP="001F1BE7">
            <w:pPr>
              <w:spacing w:before="120" w:after="120"/>
              <w:jc w:val="left"/>
              <w:rPr>
                <w:rFonts w:asciiTheme="minorHAnsi" w:hAnsiTheme="minorHAnsi" w:cs="Arial"/>
                <w:noProof/>
                <w:szCs w:val="22"/>
              </w:rPr>
            </w:pPr>
            <w:r w:rsidRPr="004C079D">
              <w:rPr>
                <w:rFonts w:asciiTheme="minorHAnsi" w:hAnsiTheme="minorHAnsi" w:cs="Arial"/>
                <w:noProof/>
                <w:szCs w:val="22"/>
              </w:rPr>
              <w:t>O V</w:t>
            </w:r>
            <w:r w:rsidR="00003D45" w:rsidRPr="004C079D">
              <w:rPr>
                <w:rFonts w:asciiTheme="minorHAnsi" w:hAnsiTheme="minorHAnsi" w:cs="Arial"/>
                <w:noProof/>
                <w:szCs w:val="22"/>
              </w:rPr>
              <w:t>ice- Presidente</w:t>
            </w:r>
          </w:p>
          <w:p w:rsidR="004E08F6" w:rsidRPr="004C079D" w:rsidRDefault="004E08F6" w:rsidP="001F1BE7">
            <w:pPr>
              <w:spacing w:before="120" w:after="120"/>
              <w:jc w:val="left"/>
              <w:rPr>
                <w:rFonts w:asciiTheme="minorHAnsi" w:hAnsiTheme="minorHAnsi" w:cs="Arial"/>
                <w:noProof/>
                <w:szCs w:val="22"/>
              </w:rPr>
            </w:pPr>
          </w:p>
          <w:p w:rsidR="004E08F6" w:rsidRPr="004C079D" w:rsidRDefault="004E08F6" w:rsidP="001F1BE7">
            <w:pPr>
              <w:spacing w:before="120" w:after="120"/>
              <w:jc w:val="left"/>
              <w:rPr>
                <w:rFonts w:asciiTheme="minorHAnsi" w:hAnsiTheme="minorHAnsi" w:cs="Arial"/>
                <w:noProof/>
                <w:szCs w:val="22"/>
              </w:rPr>
            </w:pPr>
          </w:p>
          <w:p w:rsidR="004E08F6" w:rsidRPr="004C079D" w:rsidRDefault="00003D45" w:rsidP="001F1BE7">
            <w:pPr>
              <w:spacing w:before="120" w:after="120"/>
              <w:jc w:val="left"/>
              <w:rPr>
                <w:rFonts w:asciiTheme="minorHAnsi" w:hAnsiTheme="minorHAnsi" w:cs="Arial"/>
                <w:noProof/>
                <w:szCs w:val="22"/>
              </w:rPr>
            </w:pPr>
            <w:r w:rsidRPr="004C079D">
              <w:rPr>
                <w:rFonts w:asciiTheme="minorHAnsi" w:hAnsiTheme="minorHAnsi" w:cs="Arial"/>
                <w:noProof/>
                <w:szCs w:val="22"/>
              </w:rPr>
              <w:t>José Damas Antunes</w:t>
            </w:r>
          </w:p>
        </w:tc>
      </w:tr>
    </w:tbl>
    <w:p w:rsidR="003B4E34" w:rsidRPr="009D0EF4" w:rsidRDefault="003B4E34">
      <w:pPr>
        <w:rPr>
          <w:rFonts w:asciiTheme="minorHAnsi" w:hAnsiTheme="minorHAnsi"/>
          <w:b/>
          <w:bCs/>
          <w:i/>
          <w:szCs w:val="22"/>
        </w:rPr>
      </w:pPr>
      <w:r w:rsidRPr="004C079D">
        <w:rPr>
          <w:rFonts w:asciiTheme="minorHAnsi" w:hAnsiTheme="minorHAnsi"/>
          <w:szCs w:val="22"/>
        </w:rPr>
        <w:br w:type="page"/>
      </w:r>
      <w:r w:rsidRPr="009D0EF4">
        <w:rPr>
          <w:rFonts w:asciiTheme="minorHAnsi" w:hAnsiTheme="minorHAnsi"/>
          <w:b/>
          <w:bCs/>
          <w:szCs w:val="22"/>
        </w:rPr>
        <w:lastRenderedPageBreak/>
        <w:t>ANEXO</w:t>
      </w:r>
      <w:r w:rsidR="003D77CD" w:rsidRPr="009D0EF4">
        <w:rPr>
          <w:rFonts w:asciiTheme="minorHAnsi" w:hAnsiTheme="minorHAnsi"/>
          <w:b/>
          <w:bCs/>
          <w:szCs w:val="22"/>
        </w:rPr>
        <w:t xml:space="preserve"> I</w:t>
      </w:r>
      <w:r w:rsidR="00D97A02" w:rsidRPr="009D0EF4">
        <w:rPr>
          <w:rFonts w:asciiTheme="minorHAnsi" w:hAnsiTheme="minorHAnsi"/>
          <w:b/>
          <w:bCs/>
          <w:szCs w:val="22"/>
        </w:rPr>
        <w:t xml:space="preserve"> </w:t>
      </w:r>
      <w:r w:rsidR="001501CC">
        <w:rPr>
          <w:rFonts w:asciiTheme="minorHAnsi" w:hAnsiTheme="minorHAnsi"/>
          <w:b/>
          <w:bCs/>
          <w:szCs w:val="22"/>
        </w:rPr>
        <w:t xml:space="preserve"> </w:t>
      </w:r>
    </w:p>
    <w:p w:rsidR="003B4E34" w:rsidRPr="009D0EF4" w:rsidRDefault="003B4E34">
      <w:pPr>
        <w:spacing w:before="0"/>
        <w:jc w:val="center"/>
        <w:rPr>
          <w:rFonts w:asciiTheme="minorHAnsi" w:hAnsiTheme="minorHAnsi"/>
          <w:szCs w:val="22"/>
          <w:highlight w:val="yellow"/>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196"/>
      </w:tblGrid>
      <w:tr w:rsidR="008976FC" w:rsidRPr="004C079D" w:rsidTr="00B01A39">
        <w:trPr>
          <w:trHeight w:val="1701"/>
        </w:trPr>
        <w:tc>
          <w:tcPr>
            <w:tcW w:w="2520" w:type="dxa"/>
            <w:tcBorders>
              <w:left w:val="single" w:sz="4" w:space="0" w:color="auto"/>
              <w:right w:val="single" w:sz="4" w:space="0" w:color="auto"/>
            </w:tcBorders>
            <w:shd w:val="clear" w:color="auto" w:fill="D6E3BC"/>
            <w:vAlign w:val="center"/>
          </w:tcPr>
          <w:p w:rsidR="008976FC" w:rsidRPr="004C079D" w:rsidRDefault="008976FC" w:rsidP="004C079D">
            <w:pPr>
              <w:autoSpaceDE w:val="0"/>
              <w:autoSpaceDN w:val="0"/>
              <w:adjustRightInd w:val="0"/>
              <w:spacing w:before="0"/>
              <w:jc w:val="center"/>
              <w:rPr>
                <w:rFonts w:asciiTheme="minorHAnsi" w:hAnsiTheme="minorHAnsi" w:cs="Arial"/>
                <w:b/>
                <w:szCs w:val="22"/>
              </w:rPr>
            </w:pPr>
            <w:r w:rsidRPr="004C079D">
              <w:rPr>
                <w:rFonts w:asciiTheme="minorHAnsi" w:hAnsiTheme="minorHAnsi" w:cs="Arial"/>
                <w:b/>
                <w:szCs w:val="22"/>
              </w:rPr>
              <w:t>Resumo do conteúdo do procedimento, incluindo dos pareceres apresentados pelas entidades consultadas:</w:t>
            </w:r>
          </w:p>
        </w:tc>
        <w:tc>
          <w:tcPr>
            <w:tcW w:w="7196" w:type="dxa"/>
            <w:tcBorders>
              <w:left w:val="single" w:sz="4" w:space="0" w:color="auto"/>
              <w:right w:val="single" w:sz="4" w:space="0" w:color="auto"/>
            </w:tcBorders>
            <w:vAlign w:val="center"/>
          </w:tcPr>
          <w:p w:rsidR="00FE1F04" w:rsidRPr="004C079D" w:rsidRDefault="00E83F63" w:rsidP="004C079D">
            <w:pPr>
              <w:pStyle w:val="Paula"/>
              <w:widowControl/>
              <w:spacing w:before="120" w:after="120" w:line="360" w:lineRule="auto"/>
              <w:rPr>
                <w:rFonts w:asciiTheme="minorHAnsi" w:hAnsiTheme="minorHAnsi" w:cs="Arial"/>
                <w:b/>
                <w:szCs w:val="22"/>
              </w:rPr>
            </w:pPr>
            <w:r w:rsidRPr="004C079D">
              <w:rPr>
                <w:rFonts w:asciiTheme="minorHAnsi" w:hAnsiTheme="minorHAnsi" w:cs="Arial"/>
                <w:b/>
                <w:szCs w:val="22"/>
              </w:rPr>
              <w:t>I. Conteúdo</w:t>
            </w:r>
            <w:r w:rsidR="00FE1F04" w:rsidRPr="004C079D">
              <w:rPr>
                <w:rFonts w:asciiTheme="minorHAnsi" w:hAnsiTheme="minorHAnsi" w:cs="Arial"/>
                <w:b/>
                <w:szCs w:val="22"/>
              </w:rPr>
              <w:t xml:space="preserve"> do Procedimento</w:t>
            </w:r>
          </w:p>
          <w:p w:rsidR="00FE1F04" w:rsidRPr="004C079D" w:rsidRDefault="00FE1F04" w:rsidP="004C079D">
            <w:pPr>
              <w:pStyle w:val="Paula"/>
              <w:widowControl/>
              <w:spacing w:before="120" w:after="120" w:line="360" w:lineRule="auto"/>
              <w:rPr>
                <w:rFonts w:asciiTheme="minorHAnsi" w:hAnsiTheme="minorHAnsi" w:cs="Arial"/>
                <w:szCs w:val="22"/>
              </w:rPr>
            </w:pPr>
            <w:r w:rsidRPr="004C079D">
              <w:rPr>
                <w:rFonts w:asciiTheme="minorHAnsi" w:hAnsiTheme="minorHAnsi" w:cs="Arial"/>
                <w:szCs w:val="22"/>
              </w:rPr>
              <w:t xml:space="preserve">1. O EIA deu entrada na CCDR LVT em </w:t>
            </w:r>
            <w:r w:rsidR="007F052B">
              <w:rPr>
                <w:rFonts w:asciiTheme="minorHAnsi" w:hAnsiTheme="minorHAnsi" w:cs="Arial"/>
                <w:szCs w:val="22"/>
              </w:rPr>
              <w:t>16.04.</w:t>
            </w:r>
            <w:r w:rsidR="0061410F" w:rsidRPr="004C079D">
              <w:rPr>
                <w:rFonts w:asciiTheme="minorHAnsi" w:hAnsiTheme="minorHAnsi" w:cs="Arial"/>
                <w:szCs w:val="22"/>
              </w:rPr>
              <w:t>2014.</w:t>
            </w:r>
          </w:p>
          <w:p w:rsidR="00FE1F04" w:rsidRPr="004C079D" w:rsidRDefault="00FE1F04" w:rsidP="004C079D">
            <w:pPr>
              <w:pStyle w:val="Paula"/>
              <w:widowControl/>
              <w:spacing w:before="120" w:after="120" w:line="360" w:lineRule="auto"/>
              <w:rPr>
                <w:rFonts w:asciiTheme="minorHAnsi" w:hAnsiTheme="minorHAnsi" w:cs="Arial"/>
                <w:szCs w:val="22"/>
              </w:rPr>
            </w:pPr>
            <w:r w:rsidRPr="004C079D">
              <w:rPr>
                <w:rFonts w:asciiTheme="minorHAnsi" w:hAnsiTheme="minorHAnsi" w:cs="Arial"/>
                <w:szCs w:val="22"/>
              </w:rPr>
              <w:t xml:space="preserve">2. O projeto foi instruído pela Entidade Licenciadora ao abrigo da alínea a) do </w:t>
            </w:r>
            <w:r w:rsidR="00F52876" w:rsidRPr="004C079D">
              <w:rPr>
                <w:rFonts w:asciiTheme="minorHAnsi" w:hAnsiTheme="minorHAnsi" w:cs="Arial"/>
                <w:szCs w:val="22"/>
              </w:rPr>
              <w:t>ponto</w:t>
            </w:r>
            <w:r w:rsidR="00C56EA6" w:rsidRPr="004C079D">
              <w:rPr>
                <w:rFonts w:asciiTheme="minorHAnsi" w:hAnsiTheme="minorHAnsi" w:cs="Arial"/>
                <w:szCs w:val="22"/>
              </w:rPr>
              <w:t xml:space="preserve"> 4</w:t>
            </w:r>
            <w:r w:rsidRPr="004C079D">
              <w:rPr>
                <w:rFonts w:asciiTheme="minorHAnsi" w:hAnsiTheme="minorHAnsi" w:cs="Arial"/>
                <w:szCs w:val="22"/>
              </w:rPr>
              <w:t xml:space="preserve"> do </w:t>
            </w:r>
            <w:r w:rsidR="00C56EA6" w:rsidRPr="004C079D">
              <w:rPr>
                <w:rFonts w:asciiTheme="minorHAnsi" w:hAnsiTheme="minorHAnsi" w:cs="Arial"/>
                <w:szCs w:val="22"/>
              </w:rPr>
              <w:t>art.º 1º</w:t>
            </w:r>
            <w:r w:rsidRPr="004C079D">
              <w:rPr>
                <w:rFonts w:asciiTheme="minorHAnsi" w:hAnsiTheme="minorHAnsi" w:cs="Arial"/>
                <w:szCs w:val="22"/>
              </w:rPr>
              <w:t xml:space="preserve"> do decreto-Lei nº </w:t>
            </w:r>
            <w:r w:rsidR="0061410F" w:rsidRPr="004C079D">
              <w:rPr>
                <w:rFonts w:asciiTheme="minorHAnsi" w:hAnsiTheme="minorHAnsi" w:cs="Arial"/>
                <w:szCs w:val="22"/>
              </w:rPr>
              <w:t>151-B</w:t>
            </w:r>
            <w:r w:rsidRPr="004C079D">
              <w:rPr>
                <w:rFonts w:asciiTheme="minorHAnsi" w:hAnsiTheme="minorHAnsi" w:cs="Arial"/>
                <w:szCs w:val="22"/>
              </w:rPr>
              <w:t>/20</w:t>
            </w:r>
            <w:r w:rsidR="0061410F" w:rsidRPr="004C079D">
              <w:rPr>
                <w:rFonts w:asciiTheme="minorHAnsi" w:hAnsiTheme="minorHAnsi" w:cs="Arial"/>
                <w:szCs w:val="22"/>
              </w:rPr>
              <w:t>13</w:t>
            </w:r>
            <w:r w:rsidRPr="004C079D">
              <w:rPr>
                <w:rFonts w:asciiTheme="minorHAnsi" w:hAnsiTheme="minorHAnsi" w:cs="Arial"/>
                <w:szCs w:val="22"/>
              </w:rPr>
              <w:t>, de 3</w:t>
            </w:r>
            <w:r w:rsidR="0061410F" w:rsidRPr="004C079D">
              <w:rPr>
                <w:rFonts w:asciiTheme="minorHAnsi" w:hAnsiTheme="minorHAnsi" w:cs="Arial"/>
                <w:szCs w:val="22"/>
              </w:rPr>
              <w:t>1</w:t>
            </w:r>
            <w:r w:rsidRPr="004C079D">
              <w:rPr>
                <w:rFonts w:asciiTheme="minorHAnsi" w:hAnsiTheme="minorHAnsi" w:cs="Arial"/>
                <w:szCs w:val="22"/>
              </w:rPr>
              <w:t xml:space="preserve"> de </w:t>
            </w:r>
            <w:r w:rsidR="0061410F" w:rsidRPr="004C079D">
              <w:rPr>
                <w:rFonts w:asciiTheme="minorHAnsi" w:hAnsiTheme="minorHAnsi" w:cs="Arial"/>
                <w:szCs w:val="22"/>
              </w:rPr>
              <w:t>outubro</w:t>
            </w:r>
            <w:r w:rsidRPr="004C079D">
              <w:rPr>
                <w:rFonts w:asciiTheme="minorHAnsi" w:hAnsiTheme="minorHAnsi" w:cs="Arial"/>
                <w:szCs w:val="22"/>
              </w:rPr>
              <w:t>.</w:t>
            </w:r>
          </w:p>
          <w:p w:rsidR="00FE1F04" w:rsidRPr="004C079D" w:rsidRDefault="00FE1F04" w:rsidP="004C079D">
            <w:pPr>
              <w:pStyle w:val="Paula"/>
              <w:widowControl/>
              <w:spacing w:before="120" w:after="120" w:line="360" w:lineRule="auto"/>
              <w:rPr>
                <w:rFonts w:asciiTheme="minorHAnsi" w:hAnsiTheme="minorHAnsi" w:cs="Arial"/>
                <w:szCs w:val="22"/>
              </w:rPr>
            </w:pPr>
            <w:r w:rsidRPr="004C079D">
              <w:rPr>
                <w:rFonts w:asciiTheme="minorHAnsi" w:hAnsiTheme="minorHAnsi" w:cs="Arial"/>
                <w:szCs w:val="22"/>
              </w:rPr>
              <w:t xml:space="preserve">3. Nos termos da alínea g) do ponto 3 do art.º 8º conjugado com o nº2 do art.º 9º do Decreto-Lei nº 151-B/2013, </w:t>
            </w:r>
            <w:r w:rsidR="001501CC" w:rsidRPr="004C079D">
              <w:rPr>
                <w:rFonts w:asciiTheme="minorHAnsi" w:hAnsiTheme="minorHAnsi" w:cs="Arial"/>
                <w:szCs w:val="22"/>
              </w:rPr>
              <w:t xml:space="preserve">de 31 de outubro, </w:t>
            </w:r>
            <w:r w:rsidRPr="004C079D">
              <w:rPr>
                <w:rFonts w:asciiTheme="minorHAnsi" w:hAnsiTheme="minorHAnsi" w:cs="Arial"/>
                <w:szCs w:val="22"/>
              </w:rPr>
              <w:t>foi constituída a Comissão de Avaliação,</w:t>
            </w:r>
            <w:r w:rsidR="008E426B" w:rsidRPr="004C079D">
              <w:rPr>
                <w:rFonts w:asciiTheme="minorHAnsi" w:hAnsiTheme="minorHAnsi" w:cs="Arial"/>
                <w:szCs w:val="22"/>
              </w:rPr>
              <w:t xml:space="preserve"> integrando</w:t>
            </w:r>
            <w:r w:rsidRPr="004C079D">
              <w:rPr>
                <w:rFonts w:asciiTheme="minorHAnsi" w:hAnsiTheme="minorHAnsi" w:cs="Arial"/>
                <w:szCs w:val="22"/>
              </w:rPr>
              <w:t xml:space="preserve"> representantes das seguintes entidades: CCDR LVT, APA/ARH Tejo e Oeste,</w:t>
            </w:r>
            <w:r w:rsidR="0061410F" w:rsidRPr="004C079D">
              <w:rPr>
                <w:rFonts w:asciiTheme="minorHAnsi" w:hAnsiTheme="minorHAnsi" w:cs="Arial"/>
                <w:szCs w:val="22"/>
              </w:rPr>
              <w:t xml:space="preserve"> DGPC</w:t>
            </w:r>
            <w:r w:rsidR="007F052B">
              <w:rPr>
                <w:rFonts w:asciiTheme="minorHAnsi" w:hAnsiTheme="minorHAnsi" w:cs="Arial"/>
                <w:szCs w:val="22"/>
              </w:rPr>
              <w:t>, LNEG, ICNF</w:t>
            </w:r>
            <w:r w:rsidR="0061410F" w:rsidRPr="004C079D">
              <w:rPr>
                <w:rFonts w:asciiTheme="minorHAnsi" w:hAnsiTheme="minorHAnsi" w:cs="Arial"/>
                <w:szCs w:val="22"/>
              </w:rPr>
              <w:t xml:space="preserve"> e</w:t>
            </w:r>
            <w:r w:rsidR="00F52876" w:rsidRPr="004C079D">
              <w:rPr>
                <w:rFonts w:asciiTheme="minorHAnsi" w:hAnsiTheme="minorHAnsi" w:cs="Arial"/>
                <w:szCs w:val="22"/>
              </w:rPr>
              <w:t xml:space="preserve"> </w:t>
            </w:r>
            <w:r w:rsidR="003E45AF" w:rsidRPr="004C079D">
              <w:rPr>
                <w:rFonts w:asciiTheme="minorHAnsi" w:hAnsiTheme="minorHAnsi" w:cs="Arial"/>
                <w:szCs w:val="22"/>
              </w:rPr>
              <w:t>DR</w:t>
            </w:r>
            <w:r w:rsidR="003E45AF">
              <w:rPr>
                <w:rFonts w:asciiTheme="minorHAnsi" w:hAnsiTheme="minorHAnsi" w:cs="Arial"/>
                <w:szCs w:val="22"/>
              </w:rPr>
              <w:t xml:space="preserve">E </w:t>
            </w:r>
            <w:r w:rsidR="003E45AF" w:rsidRPr="004C079D">
              <w:rPr>
                <w:rFonts w:asciiTheme="minorHAnsi" w:hAnsiTheme="minorHAnsi" w:cs="Arial"/>
                <w:szCs w:val="22"/>
              </w:rPr>
              <w:t>LVT.</w:t>
            </w:r>
          </w:p>
          <w:p w:rsidR="00FE1F04" w:rsidRPr="004C079D" w:rsidRDefault="008E426B" w:rsidP="004C079D">
            <w:pPr>
              <w:pStyle w:val="Paula"/>
              <w:widowControl/>
              <w:spacing w:before="120" w:after="120" w:line="360" w:lineRule="auto"/>
              <w:rPr>
                <w:rFonts w:asciiTheme="minorHAnsi" w:hAnsiTheme="minorHAnsi" w:cs="Arial"/>
                <w:szCs w:val="22"/>
              </w:rPr>
            </w:pPr>
            <w:r w:rsidRPr="004C079D">
              <w:rPr>
                <w:rFonts w:asciiTheme="minorHAnsi" w:hAnsiTheme="minorHAnsi" w:cs="Arial"/>
                <w:szCs w:val="22"/>
              </w:rPr>
              <w:t>Como entidades externas fo</w:t>
            </w:r>
            <w:r w:rsidR="006333D0" w:rsidRPr="004C079D">
              <w:rPr>
                <w:rFonts w:asciiTheme="minorHAnsi" w:hAnsiTheme="minorHAnsi" w:cs="Arial"/>
                <w:szCs w:val="22"/>
              </w:rPr>
              <w:t>ram</w:t>
            </w:r>
            <w:r w:rsidRPr="004C079D">
              <w:rPr>
                <w:rFonts w:asciiTheme="minorHAnsi" w:hAnsiTheme="minorHAnsi" w:cs="Arial"/>
                <w:szCs w:val="22"/>
              </w:rPr>
              <w:t xml:space="preserve"> </w:t>
            </w:r>
            <w:r w:rsidR="002F5C88" w:rsidRPr="004C079D">
              <w:rPr>
                <w:rFonts w:asciiTheme="minorHAnsi" w:hAnsiTheme="minorHAnsi" w:cs="Arial"/>
                <w:szCs w:val="22"/>
              </w:rPr>
              <w:t xml:space="preserve">consultadas </w:t>
            </w:r>
            <w:r w:rsidR="002F5C88">
              <w:rPr>
                <w:rFonts w:asciiTheme="minorHAnsi" w:hAnsiTheme="minorHAnsi" w:cs="Arial"/>
                <w:szCs w:val="22"/>
              </w:rPr>
              <w:t>a</w:t>
            </w:r>
            <w:r w:rsidR="007F052B">
              <w:rPr>
                <w:rFonts w:asciiTheme="minorHAnsi" w:hAnsiTheme="minorHAnsi" w:cs="Arial"/>
                <w:szCs w:val="22"/>
              </w:rPr>
              <w:t xml:space="preserve"> Câmara Municipal de Santarém (CMS), Direção Geral de Energia e </w:t>
            </w:r>
            <w:r w:rsidR="002F5C88">
              <w:rPr>
                <w:rFonts w:asciiTheme="minorHAnsi" w:hAnsiTheme="minorHAnsi" w:cs="Arial"/>
                <w:szCs w:val="22"/>
              </w:rPr>
              <w:t>Geologia (DGEG</w:t>
            </w:r>
            <w:r w:rsidR="007F052B">
              <w:rPr>
                <w:rFonts w:asciiTheme="minorHAnsi" w:hAnsiTheme="minorHAnsi" w:cs="Arial"/>
                <w:szCs w:val="22"/>
              </w:rPr>
              <w:t>) e Assimagra.</w:t>
            </w:r>
          </w:p>
          <w:p w:rsidR="00FE1F04" w:rsidRPr="004C079D" w:rsidRDefault="00FE1F04" w:rsidP="004C079D">
            <w:pPr>
              <w:pStyle w:val="Paula"/>
              <w:widowControl/>
              <w:spacing w:before="120" w:after="120" w:line="360" w:lineRule="auto"/>
              <w:rPr>
                <w:rFonts w:asciiTheme="minorHAnsi" w:hAnsiTheme="minorHAnsi" w:cs="Arial"/>
                <w:szCs w:val="22"/>
              </w:rPr>
            </w:pPr>
            <w:r w:rsidRPr="004C079D">
              <w:rPr>
                <w:rFonts w:asciiTheme="minorHAnsi" w:hAnsiTheme="minorHAnsi" w:cs="Arial"/>
                <w:szCs w:val="22"/>
              </w:rPr>
              <w:t xml:space="preserve">4. Em </w:t>
            </w:r>
            <w:r w:rsidR="007F052B">
              <w:rPr>
                <w:rFonts w:asciiTheme="minorHAnsi" w:hAnsiTheme="minorHAnsi" w:cs="Arial"/>
                <w:szCs w:val="22"/>
              </w:rPr>
              <w:t>21.05</w:t>
            </w:r>
            <w:r w:rsidRPr="004C079D">
              <w:rPr>
                <w:rFonts w:asciiTheme="minorHAnsi" w:hAnsiTheme="minorHAnsi" w:cs="Arial"/>
                <w:szCs w:val="22"/>
              </w:rPr>
              <w:t>.201</w:t>
            </w:r>
            <w:r w:rsidR="0061410F" w:rsidRPr="004C079D">
              <w:rPr>
                <w:rFonts w:asciiTheme="minorHAnsi" w:hAnsiTheme="minorHAnsi" w:cs="Arial"/>
                <w:szCs w:val="22"/>
              </w:rPr>
              <w:t>4</w:t>
            </w:r>
            <w:r w:rsidRPr="004C079D">
              <w:rPr>
                <w:rFonts w:asciiTheme="minorHAnsi" w:hAnsiTheme="minorHAnsi" w:cs="Arial"/>
                <w:szCs w:val="22"/>
              </w:rPr>
              <w:t xml:space="preserve"> foi solicitado ao proponente, nos termos do nº 8 do art.º 14º do Decreto-Lei nº 151-B/2013,</w:t>
            </w:r>
            <w:r w:rsidR="001501CC" w:rsidRPr="004C079D">
              <w:rPr>
                <w:rFonts w:asciiTheme="minorHAnsi" w:hAnsiTheme="minorHAnsi" w:cs="Arial"/>
                <w:szCs w:val="22"/>
              </w:rPr>
              <w:t xml:space="preserve"> de 31 de outubro,</w:t>
            </w:r>
            <w:r w:rsidRPr="004C079D">
              <w:rPr>
                <w:rFonts w:asciiTheme="minorHAnsi" w:hAnsiTheme="minorHAnsi" w:cs="Arial"/>
                <w:szCs w:val="22"/>
              </w:rPr>
              <w:t xml:space="preserve"> a apres</w:t>
            </w:r>
            <w:r w:rsidR="00F008CE" w:rsidRPr="004C079D">
              <w:rPr>
                <w:rFonts w:asciiTheme="minorHAnsi" w:hAnsiTheme="minorHAnsi" w:cs="Arial"/>
                <w:szCs w:val="22"/>
              </w:rPr>
              <w:t xml:space="preserve">entação de elementos adicionais. </w:t>
            </w:r>
          </w:p>
          <w:p w:rsidR="00FE1F04" w:rsidRPr="004C079D" w:rsidRDefault="00FE1F04" w:rsidP="004C079D">
            <w:pPr>
              <w:pStyle w:val="Paula"/>
              <w:widowControl/>
              <w:spacing w:before="120" w:after="120" w:line="360" w:lineRule="auto"/>
              <w:rPr>
                <w:rFonts w:asciiTheme="minorHAnsi" w:hAnsiTheme="minorHAnsi" w:cs="Arial"/>
                <w:szCs w:val="22"/>
              </w:rPr>
            </w:pPr>
            <w:r w:rsidRPr="004C079D">
              <w:rPr>
                <w:rFonts w:asciiTheme="minorHAnsi" w:hAnsiTheme="minorHAnsi" w:cs="Arial"/>
                <w:szCs w:val="22"/>
              </w:rPr>
              <w:t xml:space="preserve">5. Em </w:t>
            </w:r>
            <w:r w:rsidR="007F052B">
              <w:rPr>
                <w:rFonts w:asciiTheme="minorHAnsi" w:hAnsiTheme="minorHAnsi" w:cs="Arial"/>
                <w:szCs w:val="22"/>
              </w:rPr>
              <w:t>3</w:t>
            </w:r>
            <w:r w:rsidR="004C079D" w:rsidRPr="004C079D">
              <w:rPr>
                <w:rFonts w:asciiTheme="minorHAnsi" w:hAnsiTheme="minorHAnsi" w:cs="Arial"/>
                <w:szCs w:val="22"/>
              </w:rPr>
              <w:t>0</w:t>
            </w:r>
            <w:r w:rsidRPr="004C079D">
              <w:rPr>
                <w:rFonts w:asciiTheme="minorHAnsi" w:hAnsiTheme="minorHAnsi" w:cs="Arial"/>
                <w:szCs w:val="22"/>
              </w:rPr>
              <w:t>.0</w:t>
            </w:r>
            <w:r w:rsidR="007F052B">
              <w:rPr>
                <w:rFonts w:asciiTheme="minorHAnsi" w:hAnsiTheme="minorHAnsi" w:cs="Arial"/>
                <w:szCs w:val="22"/>
              </w:rPr>
              <w:t>9.</w:t>
            </w:r>
            <w:r w:rsidRPr="004C079D">
              <w:rPr>
                <w:rFonts w:asciiTheme="minorHAnsi" w:hAnsiTheme="minorHAnsi" w:cs="Arial"/>
                <w:szCs w:val="22"/>
              </w:rPr>
              <w:t>014 deu entrada na CCDR LVT o Aditamento ao EIA, com os elementos solicitados.</w:t>
            </w:r>
          </w:p>
          <w:p w:rsidR="00FE1F04" w:rsidRPr="004C079D" w:rsidRDefault="00FE1F04" w:rsidP="004C079D">
            <w:pPr>
              <w:pStyle w:val="Paula"/>
              <w:widowControl/>
              <w:spacing w:before="120" w:after="120" w:line="360" w:lineRule="auto"/>
              <w:rPr>
                <w:rFonts w:asciiTheme="minorHAnsi" w:hAnsiTheme="minorHAnsi" w:cs="Arial"/>
                <w:szCs w:val="22"/>
              </w:rPr>
            </w:pPr>
            <w:r w:rsidRPr="004C079D">
              <w:rPr>
                <w:rFonts w:asciiTheme="minorHAnsi" w:hAnsiTheme="minorHAnsi" w:cs="Arial"/>
                <w:szCs w:val="22"/>
              </w:rPr>
              <w:t xml:space="preserve">6. A Declaração de Conformidade foi emitida em </w:t>
            </w:r>
            <w:r w:rsidR="007F052B">
              <w:rPr>
                <w:rFonts w:asciiTheme="minorHAnsi" w:hAnsiTheme="minorHAnsi" w:cs="Arial"/>
                <w:szCs w:val="22"/>
              </w:rPr>
              <w:t>14.10</w:t>
            </w:r>
            <w:r w:rsidRPr="004C079D">
              <w:rPr>
                <w:rFonts w:asciiTheme="minorHAnsi" w:hAnsiTheme="minorHAnsi" w:cs="Arial"/>
                <w:szCs w:val="22"/>
              </w:rPr>
              <w:t>.2014.</w:t>
            </w:r>
          </w:p>
          <w:p w:rsidR="00FE1F04" w:rsidRPr="004C079D" w:rsidRDefault="00FE1F04" w:rsidP="004C079D">
            <w:pPr>
              <w:pStyle w:val="Paula"/>
              <w:widowControl/>
              <w:spacing w:before="120" w:after="120" w:line="360" w:lineRule="auto"/>
              <w:rPr>
                <w:rFonts w:asciiTheme="minorHAnsi" w:hAnsiTheme="minorHAnsi" w:cs="Arial"/>
                <w:szCs w:val="22"/>
              </w:rPr>
            </w:pPr>
            <w:r w:rsidRPr="004C079D">
              <w:rPr>
                <w:rFonts w:asciiTheme="minorHAnsi" w:hAnsiTheme="minorHAnsi" w:cs="Arial"/>
                <w:szCs w:val="22"/>
              </w:rPr>
              <w:t>7.</w:t>
            </w:r>
            <w:r w:rsidR="000D4B12" w:rsidRPr="004C079D">
              <w:rPr>
                <w:rFonts w:asciiTheme="minorHAnsi" w:hAnsiTheme="minorHAnsi" w:cs="Arial"/>
                <w:szCs w:val="22"/>
              </w:rPr>
              <w:t xml:space="preserve"> A Consulta Pública teve início no dia </w:t>
            </w:r>
            <w:r w:rsidR="007F052B">
              <w:rPr>
                <w:rFonts w:asciiTheme="minorHAnsi" w:hAnsiTheme="minorHAnsi" w:cs="Arial"/>
                <w:szCs w:val="22"/>
              </w:rPr>
              <w:t>22</w:t>
            </w:r>
            <w:r w:rsidR="000D4B12" w:rsidRPr="004C079D">
              <w:rPr>
                <w:rFonts w:asciiTheme="minorHAnsi" w:hAnsiTheme="minorHAnsi" w:cs="Arial"/>
                <w:szCs w:val="22"/>
              </w:rPr>
              <w:t xml:space="preserve"> de</w:t>
            </w:r>
            <w:r w:rsidR="004C079D" w:rsidRPr="004C079D">
              <w:rPr>
                <w:rFonts w:asciiTheme="minorHAnsi" w:hAnsiTheme="minorHAnsi" w:cs="Arial"/>
                <w:szCs w:val="22"/>
              </w:rPr>
              <w:t xml:space="preserve"> outubro</w:t>
            </w:r>
            <w:r w:rsidR="000D4B12" w:rsidRPr="004C079D">
              <w:rPr>
                <w:rFonts w:asciiTheme="minorHAnsi" w:hAnsiTheme="minorHAnsi" w:cs="Arial"/>
                <w:szCs w:val="22"/>
              </w:rPr>
              <w:t xml:space="preserve"> de 2014 e o seu termo no dia </w:t>
            </w:r>
            <w:r w:rsidR="007F052B">
              <w:rPr>
                <w:rFonts w:asciiTheme="minorHAnsi" w:hAnsiTheme="minorHAnsi" w:cs="Arial"/>
                <w:szCs w:val="22"/>
              </w:rPr>
              <w:t>18</w:t>
            </w:r>
            <w:r w:rsidR="000D4B12" w:rsidRPr="004C079D">
              <w:rPr>
                <w:rFonts w:asciiTheme="minorHAnsi" w:hAnsiTheme="minorHAnsi" w:cs="Arial"/>
                <w:szCs w:val="22"/>
              </w:rPr>
              <w:t xml:space="preserve"> de</w:t>
            </w:r>
            <w:r w:rsidR="004C079D" w:rsidRPr="004C079D">
              <w:rPr>
                <w:rFonts w:asciiTheme="minorHAnsi" w:hAnsiTheme="minorHAnsi" w:cs="Arial"/>
                <w:szCs w:val="22"/>
              </w:rPr>
              <w:t xml:space="preserve"> novem</w:t>
            </w:r>
            <w:r w:rsidR="000D4B12" w:rsidRPr="004C079D">
              <w:rPr>
                <w:rFonts w:asciiTheme="minorHAnsi" w:hAnsiTheme="minorHAnsi" w:cs="Arial"/>
                <w:szCs w:val="22"/>
              </w:rPr>
              <w:t xml:space="preserve">bro de 2014. </w:t>
            </w:r>
            <w:r w:rsidRPr="004C079D">
              <w:rPr>
                <w:rFonts w:asciiTheme="minorHAnsi" w:hAnsiTheme="minorHAnsi" w:cs="Arial"/>
                <w:szCs w:val="22"/>
              </w:rPr>
              <w:t xml:space="preserve"> </w:t>
            </w:r>
          </w:p>
          <w:p w:rsidR="00FE1F04" w:rsidRPr="004C079D" w:rsidRDefault="005B6D74" w:rsidP="004C079D">
            <w:pPr>
              <w:pStyle w:val="Paula"/>
              <w:widowControl/>
              <w:spacing w:before="120" w:after="120" w:line="360" w:lineRule="auto"/>
              <w:rPr>
                <w:rFonts w:asciiTheme="minorHAnsi" w:hAnsiTheme="minorHAnsi" w:cs="Arial"/>
                <w:szCs w:val="22"/>
              </w:rPr>
            </w:pPr>
            <w:r w:rsidRPr="004C079D">
              <w:rPr>
                <w:rFonts w:asciiTheme="minorHAnsi" w:hAnsiTheme="minorHAnsi" w:cs="Arial"/>
                <w:szCs w:val="22"/>
              </w:rPr>
              <w:t>8</w:t>
            </w:r>
            <w:r w:rsidR="000D4B12" w:rsidRPr="004C079D">
              <w:rPr>
                <w:rFonts w:asciiTheme="minorHAnsi" w:hAnsiTheme="minorHAnsi" w:cs="Arial"/>
                <w:szCs w:val="22"/>
              </w:rPr>
              <w:t>. Em</w:t>
            </w:r>
            <w:r w:rsidR="004C079D" w:rsidRPr="004C079D">
              <w:rPr>
                <w:rFonts w:asciiTheme="minorHAnsi" w:hAnsiTheme="minorHAnsi" w:cs="Arial"/>
                <w:szCs w:val="22"/>
              </w:rPr>
              <w:t xml:space="preserve"> </w:t>
            </w:r>
            <w:r w:rsidR="007F052B">
              <w:rPr>
                <w:rFonts w:asciiTheme="minorHAnsi" w:hAnsiTheme="minorHAnsi" w:cs="Arial"/>
                <w:szCs w:val="22"/>
              </w:rPr>
              <w:t>28</w:t>
            </w:r>
            <w:r w:rsidR="000D4B12" w:rsidRPr="004C079D">
              <w:rPr>
                <w:rFonts w:asciiTheme="minorHAnsi" w:hAnsiTheme="minorHAnsi" w:cs="Arial"/>
                <w:szCs w:val="22"/>
              </w:rPr>
              <w:t>.1</w:t>
            </w:r>
            <w:r w:rsidR="004C079D" w:rsidRPr="004C079D">
              <w:rPr>
                <w:rFonts w:asciiTheme="minorHAnsi" w:hAnsiTheme="minorHAnsi" w:cs="Arial"/>
                <w:szCs w:val="22"/>
              </w:rPr>
              <w:t>0</w:t>
            </w:r>
            <w:r w:rsidR="000D4B12" w:rsidRPr="004C079D">
              <w:rPr>
                <w:rFonts w:asciiTheme="minorHAnsi" w:hAnsiTheme="minorHAnsi" w:cs="Arial"/>
                <w:szCs w:val="22"/>
              </w:rPr>
              <w:t xml:space="preserve">.2014 foi efetuada visita ao local </w:t>
            </w:r>
            <w:r w:rsidR="00FE1F04" w:rsidRPr="004C079D">
              <w:rPr>
                <w:rFonts w:asciiTheme="minorHAnsi" w:hAnsiTheme="minorHAnsi" w:cs="Arial"/>
                <w:szCs w:val="22"/>
              </w:rPr>
              <w:t xml:space="preserve"> </w:t>
            </w:r>
          </w:p>
          <w:p w:rsidR="00FE1F04" w:rsidRPr="004C079D" w:rsidRDefault="005B6D74" w:rsidP="004C079D">
            <w:pPr>
              <w:pStyle w:val="Paula"/>
              <w:widowControl/>
              <w:spacing w:before="120" w:after="120" w:line="360" w:lineRule="auto"/>
              <w:rPr>
                <w:rFonts w:asciiTheme="minorHAnsi" w:hAnsiTheme="minorHAnsi" w:cs="Arial"/>
                <w:szCs w:val="22"/>
              </w:rPr>
            </w:pPr>
            <w:r w:rsidRPr="004C079D">
              <w:rPr>
                <w:rFonts w:asciiTheme="minorHAnsi" w:hAnsiTheme="minorHAnsi" w:cs="Arial"/>
                <w:szCs w:val="22"/>
              </w:rPr>
              <w:t>9.</w:t>
            </w:r>
            <w:r w:rsidR="00FE1F04" w:rsidRPr="004C079D">
              <w:rPr>
                <w:rFonts w:asciiTheme="minorHAnsi" w:hAnsiTheme="minorHAnsi" w:cs="Arial"/>
                <w:szCs w:val="22"/>
              </w:rPr>
              <w:t xml:space="preserve"> O parecer final da Comissão de </w:t>
            </w:r>
            <w:r w:rsidR="0001570F" w:rsidRPr="004C079D">
              <w:rPr>
                <w:rFonts w:asciiTheme="minorHAnsi" w:hAnsiTheme="minorHAnsi" w:cs="Arial"/>
                <w:szCs w:val="22"/>
              </w:rPr>
              <w:t>A</w:t>
            </w:r>
            <w:r w:rsidR="00FE1F04" w:rsidRPr="004C079D">
              <w:rPr>
                <w:rFonts w:asciiTheme="minorHAnsi" w:hAnsiTheme="minorHAnsi" w:cs="Arial"/>
                <w:szCs w:val="22"/>
              </w:rPr>
              <w:t xml:space="preserve">valiação integrou os </w:t>
            </w:r>
            <w:r w:rsidRPr="004C079D">
              <w:rPr>
                <w:rFonts w:asciiTheme="minorHAnsi" w:hAnsiTheme="minorHAnsi" w:cs="Arial"/>
                <w:szCs w:val="22"/>
              </w:rPr>
              <w:t xml:space="preserve">pareceres setoriais, os </w:t>
            </w:r>
            <w:r w:rsidR="00FE1F04" w:rsidRPr="004C079D">
              <w:rPr>
                <w:rFonts w:asciiTheme="minorHAnsi" w:hAnsiTheme="minorHAnsi" w:cs="Arial"/>
                <w:szCs w:val="22"/>
              </w:rPr>
              <w:t xml:space="preserve">pareceres </w:t>
            </w:r>
            <w:r w:rsidRPr="004C079D">
              <w:rPr>
                <w:rFonts w:asciiTheme="minorHAnsi" w:hAnsiTheme="minorHAnsi" w:cs="Arial"/>
                <w:szCs w:val="22"/>
              </w:rPr>
              <w:t xml:space="preserve">das entidades externas e </w:t>
            </w:r>
            <w:r w:rsidR="00FE1F04" w:rsidRPr="004C079D">
              <w:rPr>
                <w:rFonts w:asciiTheme="minorHAnsi" w:hAnsiTheme="minorHAnsi" w:cs="Arial"/>
                <w:szCs w:val="22"/>
              </w:rPr>
              <w:t>o resultado da Consulta Pública.</w:t>
            </w:r>
          </w:p>
          <w:p w:rsidR="001501CC" w:rsidRDefault="001501CC" w:rsidP="004C079D">
            <w:pPr>
              <w:pStyle w:val="Paula"/>
              <w:widowControl/>
              <w:spacing w:before="120" w:after="120" w:line="360" w:lineRule="auto"/>
              <w:rPr>
                <w:rFonts w:asciiTheme="minorHAnsi" w:hAnsiTheme="minorHAnsi" w:cs="Arial"/>
                <w:szCs w:val="22"/>
              </w:rPr>
            </w:pPr>
            <w:r w:rsidRPr="004C079D">
              <w:rPr>
                <w:rFonts w:asciiTheme="minorHAnsi" w:hAnsiTheme="minorHAnsi" w:cs="Arial"/>
                <w:szCs w:val="22"/>
              </w:rPr>
              <w:t xml:space="preserve">10. Prazo final do </w:t>
            </w:r>
            <w:r w:rsidR="004C079D" w:rsidRPr="004C079D">
              <w:rPr>
                <w:rFonts w:asciiTheme="minorHAnsi" w:hAnsiTheme="minorHAnsi" w:cs="Arial"/>
                <w:szCs w:val="22"/>
              </w:rPr>
              <w:t>procedimento</w:t>
            </w:r>
            <w:r w:rsidR="007F052B">
              <w:rPr>
                <w:rFonts w:asciiTheme="minorHAnsi" w:hAnsiTheme="minorHAnsi" w:cs="Arial"/>
                <w:szCs w:val="22"/>
              </w:rPr>
              <w:t>21.01</w:t>
            </w:r>
            <w:r w:rsidRPr="004C079D">
              <w:rPr>
                <w:rFonts w:asciiTheme="minorHAnsi" w:hAnsiTheme="minorHAnsi" w:cs="Arial"/>
                <w:szCs w:val="22"/>
              </w:rPr>
              <w:t>.2014.</w:t>
            </w:r>
          </w:p>
          <w:p w:rsidR="00F15E87" w:rsidRPr="004C079D" w:rsidRDefault="00F15E87" w:rsidP="004C079D">
            <w:pPr>
              <w:pStyle w:val="Paula"/>
              <w:widowControl/>
              <w:spacing w:before="120" w:after="120" w:line="360" w:lineRule="auto"/>
              <w:rPr>
                <w:rFonts w:asciiTheme="minorHAnsi" w:hAnsiTheme="minorHAnsi" w:cs="Arial"/>
                <w:szCs w:val="22"/>
              </w:rPr>
            </w:pPr>
            <w:r>
              <w:rPr>
                <w:rFonts w:asciiTheme="minorHAnsi" w:hAnsiTheme="minorHAnsi" w:cs="Arial"/>
                <w:szCs w:val="22"/>
              </w:rPr>
              <w:t>11. Ao abrigo do CPA foi a 12.01.2015 concedido ao proponente 10 dias para se pronunciar sobre a proposta de DIA, a partir da data da receção do ofício da AIA, o qual foi recebido a 16.01.2015</w:t>
            </w:r>
          </w:p>
          <w:p w:rsidR="00FE1F04" w:rsidRPr="004C079D" w:rsidRDefault="004C079D" w:rsidP="004C079D">
            <w:pPr>
              <w:autoSpaceDE w:val="0"/>
              <w:autoSpaceDN w:val="0"/>
              <w:adjustRightInd w:val="0"/>
              <w:spacing w:before="120" w:after="120"/>
              <w:rPr>
                <w:rFonts w:asciiTheme="minorHAnsi" w:hAnsiTheme="minorHAnsi" w:cs="Arial"/>
                <w:b/>
                <w:szCs w:val="22"/>
              </w:rPr>
            </w:pPr>
            <w:r w:rsidRPr="004C079D">
              <w:rPr>
                <w:rFonts w:asciiTheme="minorHAnsi" w:hAnsiTheme="minorHAnsi" w:cs="Arial"/>
                <w:b/>
                <w:szCs w:val="22"/>
              </w:rPr>
              <w:t xml:space="preserve">II. </w:t>
            </w:r>
            <w:r w:rsidR="00FE1F04" w:rsidRPr="004C079D">
              <w:rPr>
                <w:rFonts w:asciiTheme="minorHAnsi" w:hAnsiTheme="minorHAnsi" w:cs="Arial"/>
                <w:b/>
                <w:szCs w:val="22"/>
              </w:rPr>
              <w:t>Pareceres Externos</w:t>
            </w:r>
          </w:p>
          <w:p w:rsidR="004C079D" w:rsidRDefault="004C079D" w:rsidP="004C079D">
            <w:pPr>
              <w:spacing w:before="120" w:after="120" w:line="360" w:lineRule="auto"/>
              <w:rPr>
                <w:rFonts w:asciiTheme="minorHAnsi" w:hAnsiTheme="minorHAnsi"/>
                <w:szCs w:val="22"/>
              </w:rPr>
            </w:pPr>
            <w:r w:rsidRPr="004C079D">
              <w:rPr>
                <w:rFonts w:asciiTheme="minorHAnsi" w:hAnsiTheme="minorHAnsi"/>
                <w:szCs w:val="22"/>
              </w:rPr>
              <w:t>Foi solicitado parecer às</w:t>
            </w:r>
            <w:r w:rsidR="007F052B">
              <w:rPr>
                <w:rFonts w:asciiTheme="minorHAnsi" w:hAnsiTheme="minorHAnsi"/>
                <w:szCs w:val="22"/>
              </w:rPr>
              <w:t xml:space="preserve"> seguintes entidades: CM de </w:t>
            </w:r>
            <w:r w:rsidR="002F5C88">
              <w:rPr>
                <w:rFonts w:asciiTheme="minorHAnsi" w:hAnsiTheme="minorHAnsi"/>
                <w:szCs w:val="22"/>
              </w:rPr>
              <w:t>Santarém</w:t>
            </w:r>
            <w:r w:rsidR="002F5C88" w:rsidRPr="004C079D">
              <w:rPr>
                <w:rFonts w:asciiTheme="minorHAnsi" w:hAnsiTheme="minorHAnsi"/>
                <w:szCs w:val="22"/>
              </w:rPr>
              <w:t>,</w:t>
            </w:r>
            <w:r w:rsidRPr="004C079D">
              <w:rPr>
                <w:rFonts w:asciiTheme="minorHAnsi" w:hAnsiTheme="minorHAnsi"/>
                <w:szCs w:val="22"/>
              </w:rPr>
              <w:t xml:space="preserve"> não tendo </w:t>
            </w:r>
            <w:r w:rsidRPr="004C079D">
              <w:rPr>
                <w:rFonts w:asciiTheme="minorHAnsi" w:hAnsiTheme="minorHAnsi"/>
                <w:szCs w:val="22"/>
              </w:rPr>
              <w:lastRenderedPageBreak/>
              <w:t xml:space="preserve">sido rececionado o parecer da CM de </w:t>
            </w:r>
            <w:r w:rsidR="002F5C88">
              <w:rPr>
                <w:rFonts w:asciiTheme="minorHAnsi" w:hAnsiTheme="minorHAnsi"/>
                <w:szCs w:val="22"/>
              </w:rPr>
              <w:t xml:space="preserve">Santarém, </w:t>
            </w:r>
            <w:r w:rsidR="002F5C88">
              <w:rPr>
                <w:rFonts w:asciiTheme="minorHAnsi" w:hAnsiTheme="minorHAnsi" w:cs="Arial"/>
                <w:szCs w:val="22"/>
              </w:rPr>
              <w:t>DGEG, e Assimagra</w:t>
            </w:r>
            <w:r w:rsidR="002F5C88">
              <w:rPr>
                <w:rFonts w:asciiTheme="minorHAnsi" w:hAnsiTheme="minorHAnsi"/>
                <w:szCs w:val="22"/>
              </w:rPr>
              <w:t>. Apenas esta última entidade se pronunciou.</w:t>
            </w:r>
          </w:p>
          <w:p w:rsidR="002F5C88" w:rsidRPr="002F5C88" w:rsidRDefault="002F5C88" w:rsidP="002F5C88">
            <w:pPr>
              <w:autoSpaceDE w:val="0"/>
              <w:autoSpaceDN w:val="0"/>
              <w:adjustRightInd w:val="0"/>
              <w:spacing w:before="120" w:after="120" w:line="360" w:lineRule="auto"/>
              <w:rPr>
                <w:rFonts w:asciiTheme="minorHAnsi" w:hAnsiTheme="minorHAnsi" w:cs="TT15Ct00"/>
              </w:rPr>
            </w:pPr>
            <w:r w:rsidRPr="003E45AF">
              <w:rPr>
                <w:rFonts w:asciiTheme="minorHAnsi" w:hAnsiTheme="minorHAnsi"/>
                <w:szCs w:val="22"/>
                <w:u w:val="single"/>
              </w:rPr>
              <w:t>Assimagra</w:t>
            </w:r>
            <w:r w:rsidRPr="003E45AF">
              <w:rPr>
                <w:rFonts w:asciiTheme="minorHAnsi" w:hAnsiTheme="minorHAnsi"/>
                <w:szCs w:val="22"/>
              </w:rPr>
              <w:t xml:space="preserve">: </w:t>
            </w:r>
            <w:r w:rsidRPr="003E45AF">
              <w:rPr>
                <w:rFonts w:asciiTheme="minorHAnsi" w:hAnsiTheme="minorHAnsi" w:cs="TT15Ct00"/>
              </w:rPr>
              <w:t>N</w:t>
            </w:r>
            <w:r w:rsidRPr="002F5C88">
              <w:rPr>
                <w:rFonts w:asciiTheme="minorHAnsi" w:hAnsiTheme="minorHAnsi" w:cs="TT15Ct00"/>
              </w:rPr>
              <w:t>o parecer esta entidade refere que a pedreira Chainça nº 5 integra-se na Área de Intervenção específica (AIE) de Pé da Pedreira, para a qual se encontra em elaboração o Plano de Intervenção em Espaço Rural (PIER) e o Projeto Integrado (PI).</w:t>
            </w:r>
          </w:p>
          <w:p w:rsidR="002F5C88" w:rsidRPr="002F5C88" w:rsidRDefault="002F5C88" w:rsidP="002F5C88">
            <w:pPr>
              <w:autoSpaceDE w:val="0"/>
              <w:autoSpaceDN w:val="0"/>
              <w:adjustRightInd w:val="0"/>
              <w:spacing w:before="120" w:after="120" w:line="360" w:lineRule="auto"/>
              <w:rPr>
                <w:rFonts w:asciiTheme="minorHAnsi" w:hAnsiTheme="minorHAnsi" w:cs="TT15Ct00"/>
              </w:rPr>
            </w:pPr>
            <w:r w:rsidRPr="002F5C88">
              <w:rPr>
                <w:rFonts w:asciiTheme="minorHAnsi" w:hAnsiTheme="minorHAnsi" w:cs="TT15Ct00"/>
              </w:rPr>
              <w:t>No âmbito da proposta do PIER do Pé da Pedreira a atividade extrativa para a área proposta para ampliação da pedreira “Chainça nº 5” é compatível com o Plano.</w:t>
            </w:r>
          </w:p>
          <w:p w:rsidR="002F5C88" w:rsidRPr="002F5C88" w:rsidRDefault="002F5C88" w:rsidP="002F5C88">
            <w:pPr>
              <w:autoSpaceDE w:val="0"/>
              <w:autoSpaceDN w:val="0"/>
              <w:adjustRightInd w:val="0"/>
              <w:spacing w:before="120" w:after="120" w:line="360" w:lineRule="auto"/>
              <w:rPr>
                <w:rFonts w:asciiTheme="minorHAnsi" w:hAnsiTheme="minorHAnsi" w:cs="TT15Ct00"/>
              </w:rPr>
            </w:pPr>
            <w:r w:rsidRPr="002F5C88">
              <w:rPr>
                <w:rFonts w:asciiTheme="minorHAnsi" w:hAnsiTheme="minorHAnsi" w:cs="TT15Ct00"/>
              </w:rPr>
              <w:t>Quanto ao PI de Pé da Pedreira é referido que a lavra e a deposição/modelação apresentadas no Plano de Pedreira de “Ampliação da Pedreira Chainça nº 5” não são concordantes. Contudo, com a aprovação do PI e de acordo com o artigo nº 35 do Decreto-Lei nº 270/2001, de 6 de outubro, na redação que lhe foi dada pelo Decreto-Lei nº 340/2007, de 12 de outubro, A CASAL, Lda. terá que adaptar o Plano de Pedreira de “Ampliação da pedreira“ Chainça nº 5”.</w:t>
            </w:r>
          </w:p>
          <w:p w:rsidR="00FE1F04" w:rsidRPr="002F5C88" w:rsidRDefault="002F5C88" w:rsidP="004C079D">
            <w:pPr>
              <w:autoSpaceDE w:val="0"/>
              <w:autoSpaceDN w:val="0"/>
              <w:adjustRightInd w:val="0"/>
              <w:spacing w:before="120" w:after="120" w:line="360" w:lineRule="auto"/>
              <w:rPr>
                <w:rFonts w:asciiTheme="minorHAnsi" w:hAnsiTheme="minorHAnsi" w:cs="TT15Ct00"/>
              </w:rPr>
            </w:pPr>
            <w:r w:rsidRPr="002F5C88">
              <w:rPr>
                <w:rFonts w:asciiTheme="minorHAnsi" w:hAnsiTheme="minorHAnsi" w:cs="TT15Ct00"/>
              </w:rPr>
              <w:t>A Assimagra considera ainda que a proposta apresentada pela Casal Lda. para a ampliação da pedreira “Chainça nº 5” é consentânea com o bom aproveitamento do recurso mineral, cumprindo ainda os princípios de desenvolvimento sustentável, em respeito pelos valores económicos e ambientais. Por outro lado, o calcário ornamental a explorar na pedreira “Chainça nº 5” é de grande procura no mercado internacional, e será na sua maioria remetido para exportação, em bloco.</w:t>
            </w:r>
          </w:p>
        </w:tc>
      </w:tr>
    </w:tbl>
    <w:p w:rsidR="003B4E34" w:rsidRPr="004C079D" w:rsidRDefault="003B4E34" w:rsidP="004C079D">
      <w:pPr>
        <w:spacing w:before="0"/>
        <w:jc w:val="center"/>
        <w:rPr>
          <w:rFonts w:asciiTheme="minorHAnsi" w:hAnsiTheme="minorHAnsi"/>
          <w:szCs w:val="22"/>
          <w:highlight w:val="yellow"/>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200"/>
      </w:tblGrid>
      <w:tr w:rsidR="003B4E34" w:rsidRPr="004C079D" w:rsidTr="008D317F">
        <w:trPr>
          <w:trHeight w:val="286"/>
        </w:trPr>
        <w:tc>
          <w:tcPr>
            <w:tcW w:w="2520" w:type="dxa"/>
            <w:tcBorders>
              <w:left w:val="single" w:sz="4" w:space="0" w:color="auto"/>
              <w:right w:val="single" w:sz="4" w:space="0" w:color="auto"/>
            </w:tcBorders>
            <w:shd w:val="clear" w:color="auto" w:fill="D6E3BC"/>
            <w:vAlign w:val="center"/>
          </w:tcPr>
          <w:p w:rsidR="003B4E34" w:rsidRPr="004C079D" w:rsidRDefault="003B4E34" w:rsidP="004C079D">
            <w:pPr>
              <w:autoSpaceDE w:val="0"/>
              <w:autoSpaceDN w:val="0"/>
              <w:adjustRightInd w:val="0"/>
              <w:spacing w:before="120" w:after="120"/>
              <w:jc w:val="center"/>
              <w:rPr>
                <w:rFonts w:asciiTheme="minorHAnsi" w:hAnsiTheme="minorHAnsi" w:cs="Arial"/>
                <w:b/>
                <w:szCs w:val="22"/>
              </w:rPr>
            </w:pPr>
            <w:r w:rsidRPr="004C079D">
              <w:rPr>
                <w:rFonts w:asciiTheme="minorHAnsi" w:hAnsiTheme="minorHAnsi" w:cs="Arial"/>
                <w:b/>
                <w:szCs w:val="22"/>
              </w:rPr>
              <w:t>Resumo do resultado da consulta pública:</w:t>
            </w:r>
          </w:p>
        </w:tc>
        <w:tc>
          <w:tcPr>
            <w:tcW w:w="7200" w:type="dxa"/>
            <w:tcBorders>
              <w:left w:val="single" w:sz="4" w:space="0" w:color="auto"/>
              <w:right w:val="single" w:sz="4" w:space="0" w:color="auto"/>
            </w:tcBorders>
            <w:vAlign w:val="center"/>
          </w:tcPr>
          <w:p w:rsidR="0022432F" w:rsidRPr="004C079D" w:rsidRDefault="001501CC" w:rsidP="004C079D">
            <w:pPr>
              <w:autoSpaceDE w:val="0"/>
              <w:autoSpaceDN w:val="0"/>
              <w:adjustRightInd w:val="0"/>
              <w:spacing w:before="120" w:after="120" w:line="360" w:lineRule="auto"/>
              <w:rPr>
                <w:rFonts w:asciiTheme="minorHAnsi" w:hAnsiTheme="minorHAnsi" w:cs="Arial"/>
                <w:szCs w:val="22"/>
              </w:rPr>
            </w:pPr>
            <w:r w:rsidRPr="004C079D">
              <w:rPr>
                <w:rFonts w:asciiTheme="minorHAnsi" w:hAnsiTheme="minorHAnsi" w:cs="Arial"/>
                <w:szCs w:val="22"/>
              </w:rPr>
              <w:t>A consulta</w:t>
            </w:r>
            <w:r w:rsidR="00154BF4" w:rsidRPr="004C079D">
              <w:rPr>
                <w:rFonts w:asciiTheme="minorHAnsi" w:hAnsiTheme="minorHAnsi" w:cs="Arial"/>
                <w:szCs w:val="22"/>
              </w:rPr>
              <w:t xml:space="preserve"> pública, decorreu durante </w:t>
            </w:r>
            <w:r w:rsidR="00D97A02" w:rsidRPr="004C079D">
              <w:rPr>
                <w:rFonts w:asciiTheme="minorHAnsi" w:hAnsiTheme="minorHAnsi" w:cs="Arial"/>
                <w:szCs w:val="22"/>
              </w:rPr>
              <w:t>20</w:t>
            </w:r>
            <w:r w:rsidR="00154BF4" w:rsidRPr="004C079D">
              <w:rPr>
                <w:rFonts w:asciiTheme="minorHAnsi" w:hAnsiTheme="minorHAnsi" w:cs="Arial"/>
                <w:szCs w:val="22"/>
              </w:rPr>
              <w:t xml:space="preserve"> dias úteis</w:t>
            </w:r>
            <w:r w:rsidR="003D2AA2" w:rsidRPr="004C079D">
              <w:rPr>
                <w:rFonts w:asciiTheme="minorHAnsi" w:hAnsiTheme="minorHAnsi" w:cs="Arial"/>
                <w:szCs w:val="22"/>
              </w:rPr>
              <w:t xml:space="preserve">, de </w:t>
            </w:r>
            <w:r w:rsidR="002F5C88">
              <w:rPr>
                <w:rFonts w:asciiTheme="minorHAnsi" w:hAnsiTheme="minorHAnsi" w:cs="Arial"/>
                <w:szCs w:val="22"/>
              </w:rPr>
              <w:t>22</w:t>
            </w:r>
            <w:r w:rsidR="000B65F0" w:rsidRPr="004C079D">
              <w:rPr>
                <w:rFonts w:asciiTheme="minorHAnsi" w:hAnsiTheme="minorHAnsi" w:cs="Arial"/>
                <w:szCs w:val="22"/>
              </w:rPr>
              <w:t xml:space="preserve"> </w:t>
            </w:r>
            <w:r w:rsidR="004C079D" w:rsidRPr="004C079D">
              <w:rPr>
                <w:rFonts w:asciiTheme="minorHAnsi" w:hAnsiTheme="minorHAnsi" w:cs="Arial"/>
                <w:szCs w:val="22"/>
              </w:rPr>
              <w:t>d</w:t>
            </w:r>
            <w:r w:rsidR="000B65F0" w:rsidRPr="004C079D">
              <w:rPr>
                <w:rFonts w:asciiTheme="minorHAnsi" w:hAnsiTheme="minorHAnsi" w:cs="Arial"/>
                <w:szCs w:val="22"/>
              </w:rPr>
              <w:t xml:space="preserve">e </w:t>
            </w:r>
            <w:r w:rsidR="004C079D" w:rsidRPr="004C079D">
              <w:rPr>
                <w:rFonts w:asciiTheme="minorHAnsi" w:hAnsiTheme="minorHAnsi" w:cs="Arial"/>
                <w:szCs w:val="22"/>
              </w:rPr>
              <w:t>outu</w:t>
            </w:r>
            <w:r w:rsidR="000B65F0" w:rsidRPr="004C079D">
              <w:rPr>
                <w:rFonts w:asciiTheme="minorHAnsi" w:hAnsiTheme="minorHAnsi" w:cs="Arial"/>
                <w:szCs w:val="22"/>
              </w:rPr>
              <w:t>bro</w:t>
            </w:r>
            <w:r w:rsidR="0054312F" w:rsidRPr="004C079D">
              <w:rPr>
                <w:rFonts w:asciiTheme="minorHAnsi" w:hAnsiTheme="minorHAnsi" w:cs="Arial"/>
                <w:szCs w:val="22"/>
              </w:rPr>
              <w:t xml:space="preserve"> a </w:t>
            </w:r>
            <w:r w:rsidR="002F5C88">
              <w:rPr>
                <w:rFonts w:asciiTheme="minorHAnsi" w:hAnsiTheme="minorHAnsi" w:cs="Arial"/>
                <w:szCs w:val="22"/>
              </w:rPr>
              <w:t>18</w:t>
            </w:r>
            <w:r w:rsidR="0054312F" w:rsidRPr="004C079D">
              <w:rPr>
                <w:rFonts w:asciiTheme="minorHAnsi" w:hAnsiTheme="minorHAnsi" w:cs="Arial"/>
                <w:szCs w:val="22"/>
              </w:rPr>
              <w:t xml:space="preserve"> de</w:t>
            </w:r>
            <w:r w:rsidR="009D0EF4" w:rsidRPr="004C079D">
              <w:rPr>
                <w:rFonts w:asciiTheme="minorHAnsi" w:hAnsiTheme="minorHAnsi" w:cs="Arial"/>
                <w:szCs w:val="22"/>
              </w:rPr>
              <w:t xml:space="preserve"> </w:t>
            </w:r>
            <w:r w:rsidR="004C079D" w:rsidRPr="004C079D">
              <w:rPr>
                <w:rFonts w:asciiTheme="minorHAnsi" w:hAnsiTheme="minorHAnsi" w:cs="Arial"/>
                <w:szCs w:val="22"/>
              </w:rPr>
              <w:t>novem</w:t>
            </w:r>
            <w:r w:rsidR="000B65F0" w:rsidRPr="004C079D">
              <w:rPr>
                <w:rFonts w:asciiTheme="minorHAnsi" w:hAnsiTheme="minorHAnsi" w:cs="Arial"/>
                <w:szCs w:val="22"/>
              </w:rPr>
              <w:t>bro</w:t>
            </w:r>
            <w:r w:rsidR="00791FB2" w:rsidRPr="004C079D">
              <w:rPr>
                <w:rFonts w:asciiTheme="minorHAnsi" w:hAnsiTheme="minorHAnsi" w:cs="Arial"/>
                <w:szCs w:val="22"/>
              </w:rPr>
              <w:t xml:space="preserve"> de 201</w:t>
            </w:r>
            <w:r w:rsidR="00D97A02" w:rsidRPr="004C079D">
              <w:rPr>
                <w:rFonts w:asciiTheme="minorHAnsi" w:hAnsiTheme="minorHAnsi" w:cs="Arial"/>
                <w:szCs w:val="22"/>
              </w:rPr>
              <w:t>4</w:t>
            </w:r>
            <w:r w:rsidR="003D2AA2" w:rsidRPr="004C079D">
              <w:rPr>
                <w:rFonts w:asciiTheme="minorHAnsi" w:hAnsiTheme="minorHAnsi" w:cs="Arial"/>
                <w:szCs w:val="22"/>
              </w:rPr>
              <w:t>.</w:t>
            </w:r>
          </w:p>
          <w:p w:rsidR="002F5C88" w:rsidRPr="002F5C88" w:rsidRDefault="00577B93" w:rsidP="002F5C88">
            <w:pPr>
              <w:spacing w:before="120" w:after="120" w:line="360" w:lineRule="auto"/>
              <w:rPr>
                <w:rFonts w:asciiTheme="minorHAnsi" w:eastAsia="Calibri" w:hAnsiTheme="minorHAnsi" w:cs="Microsoft Sans Serif"/>
              </w:rPr>
            </w:pPr>
            <w:r w:rsidRPr="004C079D">
              <w:rPr>
                <w:rFonts w:asciiTheme="minorHAnsi" w:hAnsiTheme="minorHAnsi" w:cs="TT15Ct00"/>
                <w:szCs w:val="22"/>
              </w:rPr>
              <w:t xml:space="preserve">No âmbito da Consulta Pública foi rececionado </w:t>
            </w:r>
            <w:r w:rsidR="002F5C88">
              <w:rPr>
                <w:rFonts w:asciiTheme="minorHAnsi" w:hAnsiTheme="minorHAnsi" w:cs="TT15Ct00"/>
                <w:szCs w:val="22"/>
              </w:rPr>
              <w:t xml:space="preserve">um </w:t>
            </w:r>
            <w:r w:rsidR="002F5C88" w:rsidRPr="002F5C88">
              <w:rPr>
                <w:rFonts w:asciiTheme="minorHAnsi" w:eastAsia="Calibri" w:hAnsiTheme="minorHAnsi" w:cs="Microsoft Sans Serif"/>
              </w:rPr>
              <w:t>contributo conjunto, proveniente da Federação Portuguesa de Espeleologia (FPE) e Liga para a Proteção da Natureza (LPN).</w:t>
            </w:r>
          </w:p>
          <w:p w:rsidR="002F5C88" w:rsidRPr="002F5C88" w:rsidRDefault="002F5C88" w:rsidP="002F5C88">
            <w:pPr>
              <w:spacing w:before="120" w:after="120" w:line="360" w:lineRule="auto"/>
              <w:rPr>
                <w:rFonts w:asciiTheme="minorHAnsi" w:eastAsia="Calibri" w:hAnsiTheme="minorHAnsi" w:cs="Microsoft Sans Serif"/>
              </w:rPr>
            </w:pPr>
            <w:r w:rsidRPr="002F5C88">
              <w:rPr>
                <w:rFonts w:asciiTheme="minorHAnsi" w:eastAsia="Calibri" w:hAnsiTheme="minorHAnsi" w:cs="Microsoft Sans Serif"/>
              </w:rPr>
              <w:t xml:space="preserve">Estas Associações consideram que a proposta de ampliação da pedreira “Chainça é um projeto fictício, dado que a área em causa já se encontra </w:t>
            </w:r>
            <w:r w:rsidRPr="002F5C88">
              <w:rPr>
                <w:rFonts w:asciiTheme="minorHAnsi" w:eastAsia="Calibri" w:hAnsiTheme="minorHAnsi" w:cs="Microsoft Sans Serif"/>
              </w:rPr>
              <w:lastRenderedPageBreak/>
              <w:t>explorada. Referem que foi autorizada a exploração a título provisório, com a obrigação de submissão ao processo de licenciamento e respetivo estudo de impacte ambiental, procedimento este, que estas Associações consideram inadequado, uma vez que, mesmo que a decisão tivesse sido desfavorável a área já teria sido degradada. Salientam, ainda, que a submissão a licenciamento e EIA não foi cumprida em tempo útil.</w:t>
            </w:r>
          </w:p>
          <w:p w:rsidR="002F5C88" w:rsidRPr="002F5C88" w:rsidRDefault="002F5C88" w:rsidP="002F5C88">
            <w:pPr>
              <w:spacing w:before="120" w:after="120" w:line="360" w:lineRule="auto"/>
              <w:rPr>
                <w:rFonts w:asciiTheme="minorHAnsi" w:eastAsia="Calibri" w:hAnsiTheme="minorHAnsi" w:cs="Microsoft Sans Serif"/>
              </w:rPr>
            </w:pPr>
            <w:r w:rsidRPr="002F5C88">
              <w:rPr>
                <w:rFonts w:asciiTheme="minorHAnsi" w:eastAsia="Calibri" w:hAnsiTheme="minorHAnsi" w:cs="Microsoft Sans Serif"/>
              </w:rPr>
              <w:t xml:space="preserve">A FPE/LPN salientam o facto da pedreira se localizar numa das zonas mais ricas em património espeleológico do Parque Natural das Serras de Aire e Candeeiros (PNSAC), considerando que, não foi tido em conta o Decreto-Lei 340/2007, das pedreiras </w:t>
            </w:r>
            <w:r w:rsidRPr="002F5C88">
              <w:rPr>
                <w:rFonts w:asciiTheme="minorHAnsi" w:hAnsiTheme="minorHAnsi" w:cs="Microsoft Sans Serif"/>
              </w:rPr>
              <w:t>que indica</w:t>
            </w:r>
            <w:r w:rsidRPr="002F5C88">
              <w:rPr>
                <w:rFonts w:asciiTheme="minorHAnsi" w:eastAsia="Calibri" w:hAnsiTheme="minorHAnsi" w:cs="Microsoft Sans Serif"/>
              </w:rPr>
              <w:t xml:space="preserve"> que as zonas classificadas com valor científico ou paisagísticos, que é o caso, devem ter uma área de proteção com um raio de 500m, o que não se verifica</w:t>
            </w:r>
            <w:r w:rsidRPr="002F5C88">
              <w:rPr>
                <w:rFonts w:asciiTheme="minorHAnsi" w:hAnsiTheme="minorHAnsi" w:cs="Microsoft Sans Serif"/>
              </w:rPr>
              <w:t>,</w:t>
            </w:r>
            <w:r w:rsidRPr="002F5C88">
              <w:rPr>
                <w:rFonts w:asciiTheme="minorHAnsi" w:eastAsia="Calibri" w:hAnsiTheme="minorHAnsi" w:cs="Microsoft Sans Serif"/>
              </w:rPr>
              <w:t xml:space="preserve"> pondo em causa a preservação das galerias conhecidas como algares Gralhas VII e Gralhas I, classificadas como geo</w:t>
            </w:r>
            <w:r w:rsidR="006F5C9A">
              <w:rPr>
                <w:rFonts w:asciiTheme="minorHAnsi" w:eastAsia="Calibri" w:hAnsiTheme="minorHAnsi" w:cs="Microsoft Sans Serif"/>
              </w:rPr>
              <w:t>s</w:t>
            </w:r>
            <w:r w:rsidRPr="002F5C88">
              <w:rPr>
                <w:rFonts w:asciiTheme="minorHAnsi" w:eastAsia="Calibri" w:hAnsiTheme="minorHAnsi" w:cs="Microsoft Sans Serif"/>
              </w:rPr>
              <w:t>sítios no Plano de Ordenamento (PO) do PNSAC, que se encontram a 300m e a 450m respetivamente.</w:t>
            </w:r>
          </w:p>
          <w:p w:rsidR="002F5C88" w:rsidRPr="002F5C88" w:rsidRDefault="002F5C88" w:rsidP="002F5C88">
            <w:pPr>
              <w:spacing w:before="120" w:after="120" w:line="360" w:lineRule="auto"/>
              <w:rPr>
                <w:rFonts w:asciiTheme="minorHAnsi" w:eastAsia="Calibri" w:hAnsiTheme="minorHAnsi" w:cs="Microsoft Sans Serif"/>
              </w:rPr>
            </w:pPr>
            <w:r w:rsidRPr="002F5C88">
              <w:rPr>
                <w:rFonts w:asciiTheme="minorHAnsi" w:eastAsia="Calibri" w:hAnsiTheme="minorHAnsi" w:cs="Microsoft Sans Serif"/>
              </w:rPr>
              <w:t>Consideram ainda, que a exploração contribui para a destruição sistemática de uma paisagem única e protegida, sem grandes benefícios financeiros para o país.</w:t>
            </w:r>
          </w:p>
          <w:p w:rsidR="002F5C88" w:rsidRPr="002F5C88" w:rsidRDefault="002F5C88" w:rsidP="002F5C88">
            <w:pPr>
              <w:spacing w:before="120" w:after="120" w:line="360" w:lineRule="auto"/>
              <w:rPr>
                <w:rFonts w:asciiTheme="minorHAnsi" w:eastAsia="Calibri" w:hAnsiTheme="minorHAnsi" w:cs="Microsoft Sans Serif"/>
              </w:rPr>
            </w:pPr>
            <w:r w:rsidRPr="002F5C88">
              <w:rPr>
                <w:rFonts w:asciiTheme="minorHAnsi" w:eastAsia="Calibri" w:hAnsiTheme="minorHAnsi" w:cs="Microsoft Sans Serif"/>
              </w:rPr>
              <w:t>Salientam que o EIA apresenta omissões e incorreções relativamente às localizações das entradas dos algares das Gralhas VII e Gralhas I, bem como à existência de muitas grutas na zona envolvente, que poderão ser igualmente ameaçadas pela pedreira.</w:t>
            </w:r>
          </w:p>
          <w:p w:rsidR="004C079D" w:rsidRPr="003E45AF" w:rsidRDefault="002F5C88" w:rsidP="003E45AF">
            <w:pPr>
              <w:spacing w:before="120" w:after="120" w:line="360" w:lineRule="auto"/>
              <w:rPr>
                <w:rFonts w:asciiTheme="minorHAnsi" w:hAnsiTheme="minorHAnsi" w:cs="Microsoft Sans Serif"/>
              </w:rPr>
            </w:pPr>
            <w:r w:rsidRPr="002F5C88">
              <w:rPr>
                <w:rFonts w:asciiTheme="minorHAnsi" w:eastAsia="Calibri" w:hAnsiTheme="minorHAnsi" w:cs="Microsoft Sans Serif"/>
              </w:rPr>
              <w:t>Em conclusão, estas duas Associações manifestam-se contra o projeto, sobretudo por este por em risco o património espeleológico, numa das áreas mais ricas do PNSAC.</w:t>
            </w:r>
          </w:p>
        </w:tc>
      </w:tr>
    </w:tbl>
    <w:p w:rsidR="003B4E34" w:rsidRPr="009D0EF4" w:rsidRDefault="003B4E34" w:rsidP="003E087A">
      <w:pPr>
        <w:spacing w:before="0"/>
        <w:jc w:val="center"/>
        <w:rPr>
          <w:rFonts w:asciiTheme="minorHAnsi" w:hAnsiTheme="minorHAnsi"/>
          <w:szCs w:val="22"/>
          <w:highlight w:val="yellow"/>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200"/>
      </w:tblGrid>
      <w:tr w:rsidR="003B4E34" w:rsidRPr="003E45AF" w:rsidTr="0047527D">
        <w:trPr>
          <w:trHeight w:val="401"/>
        </w:trPr>
        <w:tc>
          <w:tcPr>
            <w:tcW w:w="2520" w:type="dxa"/>
            <w:tcBorders>
              <w:top w:val="single" w:sz="4" w:space="0" w:color="auto"/>
              <w:left w:val="single" w:sz="4" w:space="0" w:color="auto"/>
              <w:right w:val="single" w:sz="4" w:space="0" w:color="auto"/>
            </w:tcBorders>
            <w:shd w:val="clear" w:color="auto" w:fill="D6E3BC"/>
            <w:vAlign w:val="center"/>
          </w:tcPr>
          <w:p w:rsidR="003B4E34" w:rsidRPr="003E45AF" w:rsidRDefault="003B4E34" w:rsidP="004953C5">
            <w:pPr>
              <w:spacing w:before="0"/>
              <w:jc w:val="center"/>
              <w:rPr>
                <w:rFonts w:asciiTheme="minorHAnsi" w:hAnsiTheme="minorHAnsi" w:cs="Arial"/>
                <w:noProof/>
                <w:szCs w:val="22"/>
              </w:rPr>
            </w:pPr>
            <w:r w:rsidRPr="003E45AF">
              <w:rPr>
                <w:rFonts w:asciiTheme="minorHAnsi" w:hAnsiTheme="minorHAnsi" w:cs="Arial"/>
                <w:b/>
                <w:szCs w:val="22"/>
              </w:rPr>
              <w:t>Razões de facto e de direito que justificam a decisão:</w:t>
            </w:r>
          </w:p>
        </w:tc>
        <w:tc>
          <w:tcPr>
            <w:tcW w:w="7200" w:type="dxa"/>
            <w:tcBorders>
              <w:top w:val="single" w:sz="4" w:space="0" w:color="auto"/>
              <w:left w:val="single" w:sz="4" w:space="0" w:color="auto"/>
              <w:right w:val="single" w:sz="4" w:space="0" w:color="auto"/>
            </w:tcBorders>
            <w:vAlign w:val="center"/>
          </w:tcPr>
          <w:p w:rsidR="003E45AF" w:rsidRPr="003E45AF" w:rsidRDefault="003E45AF" w:rsidP="003E45AF">
            <w:pPr>
              <w:autoSpaceDE w:val="0"/>
              <w:autoSpaceDN w:val="0"/>
              <w:adjustRightInd w:val="0"/>
              <w:spacing w:before="120" w:after="120" w:line="360" w:lineRule="auto"/>
              <w:rPr>
                <w:rFonts w:asciiTheme="minorHAnsi" w:hAnsiTheme="minorHAnsi" w:cs="Calibri"/>
                <w:szCs w:val="22"/>
              </w:rPr>
            </w:pPr>
            <w:r w:rsidRPr="003E45AF">
              <w:rPr>
                <w:rFonts w:asciiTheme="minorHAnsi" w:hAnsiTheme="minorHAnsi" w:cs="Calibri"/>
                <w:szCs w:val="22"/>
              </w:rPr>
              <w:t>A pedreira “ Chainça nº 5” localiza-se na proximidade da localidade Pé da Pedreira, freguesia de Alcanede, concelho e distrito de Santarém.</w:t>
            </w:r>
          </w:p>
          <w:p w:rsidR="003E45AF" w:rsidRPr="003E45AF" w:rsidRDefault="003E45AF" w:rsidP="003E45AF">
            <w:pPr>
              <w:autoSpaceDE w:val="0"/>
              <w:autoSpaceDN w:val="0"/>
              <w:adjustRightInd w:val="0"/>
              <w:spacing w:before="120" w:after="120" w:line="360" w:lineRule="auto"/>
              <w:rPr>
                <w:rFonts w:asciiTheme="minorHAnsi" w:hAnsiTheme="minorHAnsi" w:cs="Calibri"/>
                <w:szCs w:val="22"/>
              </w:rPr>
            </w:pPr>
            <w:r w:rsidRPr="003E45AF">
              <w:rPr>
                <w:rFonts w:asciiTheme="minorHAnsi" w:hAnsiTheme="minorHAnsi" w:cs="Calibri"/>
                <w:szCs w:val="22"/>
              </w:rPr>
              <w:t xml:space="preserve">O acesso é efetuado através da E.N. 362 que liga Porto de Mós a Alcanede, pela povoação de Pé da Pedreira para NE, a cerca de 800 metros, e para NW, onde se encontra a povoação de Valverde. </w:t>
            </w:r>
          </w:p>
          <w:p w:rsidR="003E45AF" w:rsidRPr="003E45AF" w:rsidRDefault="003E45AF" w:rsidP="003E45AF">
            <w:pPr>
              <w:autoSpaceDE w:val="0"/>
              <w:autoSpaceDN w:val="0"/>
              <w:adjustRightInd w:val="0"/>
              <w:spacing w:before="120" w:after="120" w:line="360" w:lineRule="auto"/>
              <w:rPr>
                <w:rFonts w:asciiTheme="minorHAnsi" w:hAnsiTheme="minorHAnsi" w:cs="Calibri"/>
                <w:szCs w:val="22"/>
              </w:rPr>
            </w:pPr>
            <w:r w:rsidRPr="003E45AF">
              <w:rPr>
                <w:rFonts w:asciiTheme="minorHAnsi" w:hAnsiTheme="minorHAnsi" w:cs="Calibri"/>
                <w:szCs w:val="22"/>
              </w:rPr>
              <w:lastRenderedPageBreak/>
              <w:t>Face às necessidades do mercado, quer a nível nacional e internacional, e de forma a assegurar a continuidade da exploração, a empresa decidiu ampliar a pedreira</w:t>
            </w:r>
          </w:p>
          <w:p w:rsidR="003E45AF" w:rsidRPr="003E45AF" w:rsidRDefault="003E45AF" w:rsidP="003E45AF">
            <w:pPr>
              <w:autoSpaceDE w:val="0"/>
              <w:autoSpaceDN w:val="0"/>
              <w:adjustRightInd w:val="0"/>
              <w:spacing w:before="120" w:after="120" w:line="360" w:lineRule="auto"/>
              <w:rPr>
                <w:rFonts w:asciiTheme="minorHAnsi" w:hAnsiTheme="minorHAnsi" w:cs="Calibri"/>
                <w:szCs w:val="22"/>
              </w:rPr>
            </w:pPr>
            <w:r w:rsidRPr="003E45AF">
              <w:rPr>
                <w:rFonts w:asciiTheme="minorHAnsi" w:hAnsiTheme="minorHAnsi" w:cs="Calibri"/>
                <w:szCs w:val="22"/>
              </w:rPr>
              <w:t>A área total da pedreira é de 28 206 m2, sendo que 11 700 m2 estão licenciados.</w:t>
            </w:r>
          </w:p>
          <w:p w:rsidR="003E45AF" w:rsidRPr="003E45AF" w:rsidRDefault="003E45AF" w:rsidP="003E45AF">
            <w:pPr>
              <w:autoSpaceDE w:val="0"/>
              <w:autoSpaceDN w:val="0"/>
              <w:adjustRightInd w:val="0"/>
              <w:spacing w:before="120" w:after="120" w:line="360" w:lineRule="auto"/>
              <w:rPr>
                <w:rFonts w:asciiTheme="minorHAnsi" w:hAnsiTheme="minorHAnsi" w:cs="Calibri"/>
                <w:szCs w:val="22"/>
              </w:rPr>
            </w:pPr>
            <w:r w:rsidRPr="003E45AF">
              <w:rPr>
                <w:rFonts w:asciiTheme="minorHAnsi" w:hAnsiTheme="minorHAnsi" w:cs="Calibri"/>
                <w:szCs w:val="22"/>
              </w:rPr>
              <w:t>Da análise efetuada aos vários fatores verifica-se que os</w:t>
            </w:r>
            <w:r w:rsidRPr="003E45AF">
              <w:rPr>
                <w:rFonts w:asciiTheme="minorHAnsi" w:hAnsiTheme="minorHAnsi" w:cs="Calibri"/>
                <w:color w:val="000000"/>
                <w:szCs w:val="22"/>
              </w:rPr>
              <w:t xml:space="preserve"> principais impactes nos recursos hídricos subterrâneos prendem-se com a compactação do solo e consequente diminuição da taxa de infiltração, e eventuais derrames de óleos ou combustíveis. Os impactes do projeto são negativos, pouco significativos, minimizáveis desde que adotadas as medidas de minimização.</w:t>
            </w:r>
          </w:p>
          <w:p w:rsidR="003E45AF" w:rsidRPr="003E45AF" w:rsidRDefault="003E45AF" w:rsidP="003E45AF">
            <w:pPr>
              <w:pStyle w:val="Corpodetexto"/>
              <w:spacing w:before="120" w:line="360" w:lineRule="auto"/>
              <w:rPr>
                <w:rFonts w:asciiTheme="minorHAnsi" w:hAnsiTheme="minorHAnsi" w:cs="Calibri"/>
                <w:color w:val="000000"/>
                <w:sz w:val="22"/>
                <w:szCs w:val="22"/>
              </w:rPr>
            </w:pPr>
            <w:r w:rsidRPr="003E45AF">
              <w:rPr>
                <w:rFonts w:asciiTheme="minorHAnsi" w:hAnsiTheme="minorHAnsi" w:cs="Calibri"/>
                <w:color w:val="000000"/>
                <w:sz w:val="22"/>
                <w:szCs w:val="22"/>
              </w:rPr>
              <w:t>Ao nível dos recursos hídricos superficiais, os impactes resultam principalmente da afetação da drenagem superficial e eventual arrastamento de partículas poluentes mas as condições do terreno tornam estas possibilidades muito diminutas, pelo que, em conjunto com as medidas de minimização a implementar, afigura-se que os impactes sejam pouco significativos.</w:t>
            </w:r>
          </w:p>
          <w:p w:rsidR="003E45AF" w:rsidRPr="003E45AF" w:rsidRDefault="003E45AF" w:rsidP="003E45AF">
            <w:pPr>
              <w:pStyle w:val="Corpodetexto"/>
              <w:spacing w:before="120" w:line="360" w:lineRule="auto"/>
              <w:rPr>
                <w:rFonts w:asciiTheme="minorHAnsi" w:hAnsiTheme="minorHAnsi" w:cs="Calibri"/>
                <w:color w:val="000000"/>
                <w:sz w:val="22"/>
                <w:szCs w:val="22"/>
              </w:rPr>
            </w:pPr>
            <w:r w:rsidRPr="003E45AF">
              <w:rPr>
                <w:rFonts w:asciiTheme="minorHAnsi" w:hAnsiTheme="minorHAnsi" w:cs="Calibri"/>
                <w:color w:val="000000"/>
                <w:sz w:val="22"/>
                <w:szCs w:val="22"/>
              </w:rPr>
              <w:t>Quanto à compatibilidade do projeto com a REN, as funções descritas no RJREN não são colocadas em causa, desde que cumpridas as condicionantes e implementadas as medidas de minimização propostas neste parecer.</w:t>
            </w:r>
          </w:p>
          <w:p w:rsidR="003E45AF" w:rsidRPr="003E45AF" w:rsidRDefault="003E45AF" w:rsidP="003E45AF">
            <w:pPr>
              <w:pStyle w:val="Corpodetexto"/>
              <w:spacing w:before="120" w:line="360" w:lineRule="auto"/>
              <w:rPr>
                <w:rFonts w:asciiTheme="minorHAnsi" w:hAnsiTheme="minorHAnsi" w:cs="Calibri"/>
                <w:color w:val="000000"/>
                <w:sz w:val="22"/>
                <w:szCs w:val="22"/>
              </w:rPr>
            </w:pPr>
            <w:r w:rsidRPr="003E45AF">
              <w:rPr>
                <w:rFonts w:asciiTheme="minorHAnsi" w:hAnsiTheme="minorHAnsi" w:cs="TT15Ct00"/>
                <w:sz w:val="22"/>
                <w:szCs w:val="22"/>
              </w:rPr>
              <w:t>No âmbito do Ordenamento do Território o presente projeto não colide com o PROT OVT para o local, está em conformidade com o</w:t>
            </w:r>
            <w:r w:rsidRPr="003E45AF">
              <w:rPr>
                <w:rFonts w:asciiTheme="minorHAnsi" w:hAnsiTheme="minorHAnsi" w:cs="Microsoft Sans Serif"/>
                <w:sz w:val="22"/>
                <w:szCs w:val="22"/>
              </w:rPr>
              <w:t xml:space="preserve"> </w:t>
            </w:r>
            <w:r w:rsidRPr="003E45AF">
              <w:rPr>
                <w:rFonts w:asciiTheme="minorHAnsi" w:eastAsia="Calibri" w:hAnsiTheme="minorHAnsi" w:cs="Microsoft Sans Serif"/>
                <w:sz w:val="22"/>
                <w:szCs w:val="22"/>
              </w:rPr>
              <w:t>Plano Diretor Municipal de Santarém e é</w:t>
            </w:r>
            <w:r w:rsidRPr="003E45AF">
              <w:rPr>
                <w:rFonts w:asciiTheme="minorHAnsi" w:hAnsiTheme="minorHAnsi" w:cs="Calibri"/>
                <w:color w:val="000000"/>
                <w:sz w:val="22"/>
                <w:szCs w:val="22"/>
              </w:rPr>
              <w:t xml:space="preserve"> compatível com a REN, desde que cumpridas as condicionantes e implementadas as medidas de minimização.</w:t>
            </w:r>
          </w:p>
          <w:p w:rsidR="003E45AF" w:rsidRPr="003E45AF" w:rsidRDefault="003E45AF" w:rsidP="003E45AF">
            <w:pPr>
              <w:spacing w:before="120" w:after="120" w:line="360" w:lineRule="auto"/>
              <w:rPr>
                <w:rFonts w:asciiTheme="minorHAnsi" w:hAnsiTheme="minorHAnsi"/>
                <w:szCs w:val="22"/>
              </w:rPr>
            </w:pPr>
            <w:r w:rsidRPr="003E45AF">
              <w:rPr>
                <w:rFonts w:asciiTheme="minorHAnsi" w:hAnsiTheme="minorHAnsi" w:cs="Microsoft Sans Serif"/>
                <w:szCs w:val="22"/>
              </w:rPr>
              <w:t>Relativamente ao fator património</w:t>
            </w:r>
            <w:r w:rsidRPr="003E45AF">
              <w:rPr>
                <w:rFonts w:asciiTheme="minorHAnsi" w:hAnsiTheme="minorHAnsi"/>
                <w:szCs w:val="22"/>
              </w:rPr>
              <w:t xml:space="preserve"> os impactes negativos gerados pela implementação do projeto, estão associados à desmatação, a movimentação e revolvimento de terras, a abertura de acessos e a implantação de zonas de descarga e entulhamento de materiais residuais, provenientes da lavra da pedreira. No entanto, são minimizáveis desde que aplicadas as medidas de minimização e cumpridas as condicionantes.</w:t>
            </w:r>
          </w:p>
          <w:p w:rsidR="003E45AF" w:rsidRPr="003E45AF" w:rsidRDefault="003E45AF" w:rsidP="003E45AF">
            <w:pPr>
              <w:pStyle w:val="Corpodetexto2"/>
              <w:spacing w:before="120" w:line="360" w:lineRule="auto"/>
              <w:rPr>
                <w:rFonts w:asciiTheme="minorHAnsi" w:hAnsiTheme="minorHAnsi" w:cs="Microsoft Sans Serif"/>
                <w:color w:val="000000"/>
                <w:szCs w:val="22"/>
              </w:rPr>
            </w:pPr>
            <w:r w:rsidRPr="003E45AF">
              <w:rPr>
                <w:rFonts w:asciiTheme="minorHAnsi" w:hAnsiTheme="minorHAnsi"/>
                <w:szCs w:val="22"/>
              </w:rPr>
              <w:t>Os impactes associados à atividade da pedreira para o fator qualidade do ar</w:t>
            </w:r>
            <w:r w:rsidRPr="003E45AF">
              <w:rPr>
                <w:rFonts w:asciiTheme="minorHAnsi" w:hAnsiTheme="minorHAnsi" w:cs="Microsoft Sans Serif"/>
                <w:color w:val="000000"/>
                <w:szCs w:val="22"/>
              </w:rPr>
              <w:t xml:space="preserve"> são muito significativos, mas minimizáveis desde que implementadas as </w:t>
            </w:r>
            <w:r w:rsidRPr="003E45AF">
              <w:rPr>
                <w:rFonts w:asciiTheme="minorHAnsi" w:hAnsiTheme="minorHAnsi" w:cs="Microsoft Sans Serif"/>
                <w:color w:val="000000"/>
                <w:szCs w:val="22"/>
              </w:rPr>
              <w:lastRenderedPageBreak/>
              <w:t>medidas de minimização e plano de monitorização.</w:t>
            </w:r>
          </w:p>
          <w:p w:rsidR="003E45AF" w:rsidRPr="003E45AF" w:rsidRDefault="003E45AF" w:rsidP="003E45AF">
            <w:pPr>
              <w:spacing w:before="120" w:after="120" w:line="360" w:lineRule="auto"/>
              <w:rPr>
                <w:rFonts w:asciiTheme="minorHAnsi" w:eastAsia="Calibri" w:hAnsiTheme="minorHAnsi" w:cs="Arial"/>
                <w:szCs w:val="22"/>
              </w:rPr>
            </w:pPr>
            <w:r w:rsidRPr="003E45AF">
              <w:rPr>
                <w:rFonts w:asciiTheme="minorHAnsi" w:hAnsiTheme="minorHAnsi"/>
                <w:szCs w:val="22"/>
              </w:rPr>
              <w:t>Em termos de ambiente sonoro, d</w:t>
            </w:r>
            <w:r w:rsidRPr="003E45AF">
              <w:rPr>
                <w:rFonts w:asciiTheme="minorHAnsi" w:eastAsia="Calibri" w:hAnsiTheme="minorHAnsi" w:cs="Arial"/>
                <w:szCs w:val="22"/>
              </w:rPr>
              <w:t>e acordo com o EIA, o funcionamento da pedreira Chainça n.º 5 afeta os recetores mais próximos, pelo que o impacte na componente acústica do ambiente foi classificado como negativo e significativo, contudo, passível de ser minimizado, desde que implementado o plano de monitorização e medidas de minimização.</w:t>
            </w:r>
          </w:p>
          <w:p w:rsidR="003E45AF" w:rsidRPr="003E45AF" w:rsidRDefault="003E45AF" w:rsidP="003E45AF">
            <w:pPr>
              <w:spacing w:before="120" w:after="120" w:line="360" w:lineRule="auto"/>
              <w:rPr>
                <w:rFonts w:asciiTheme="minorHAnsi" w:eastAsia="Calibri" w:hAnsiTheme="minorHAnsi" w:cs="Microsoft Sans Serif"/>
                <w:szCs w:val="22"/>
              </w:rPr>
            </w:pPr>
            <w:r w:rsidRPr="003E45AF">
              <w:rPr>
                <w:rFonts w:asciiTheme="minorHAnsi" w:hAnsiTheme="minorHAnsi"/>
                <w:szCs w:val="22"/>
              </w:rPr>
              <w:t xml:space="preserve">Relativamente ao fator paisagem </w:t>
            </w:r>
            <w:r w:rsidRPr="003E45AF">
              <w:rPr>
                <w:rFonts w:asciiTheme="minorHAnsi" w:eastAsia="Calibri" w:hAnsiTheme="minorHAnsi" w:cs="Microsoft Sans Serif"/>
                <w:szCs w:val="22"/>
              </w:rPr>
              <w:t>os impactes na fase de exploração e recuperação são significativos. Contudo, são minimizáveis através da correta e atempada execução do PARP. Na fase de desativação, constituirá um impacte positivo. Quanto aos impactes cumulativos, dada a proximidade com outras pedreiras confinantes, os impactes serão significativos, mas temporários, dada a obrigatoriedade legal de implementação do PARP.</w:t>
            </w:r>
          </w:p>
          <w:p w:rsidR="003E45AF" w:rsidRPr="003E45AF" w:rsidRDefault="003E45AF" w:rsidP="003E45AF">
            <w:pPr>
              <w:widowControl w:val="0"/>
              <w:autoSpaceDE w:val="0"/>
              <w:autoSpaceDN w:val="0"/>
              <w:adjustRightInd w:val="0"/>
              <w:spacing w:before="120" w:after="120" w:line="360" w:lineRule="auto"/>
              <w:rPr>
                <w:rFonts w:asciiTheme="minorHAnsi" w:eastAsia="Calibri" w:hAnsiTheme="minorHAnsi" w:cs="Calibri"/>
                <w:szCs w:val="22"/>
              </w:rPr>
            </w:pPr>
            <w:r w:rsidRPr="003E45AF">
              <w:rPr>
                <w:rFonts w:asciiTheme="minorHAnsi" w:hAnsiTheme="minorHAnsi" w:cs="Calibri"/>
                <w:szCs w:val="22"/>
              </w:rPr>
              <w:t xml:space="preserve">Quanto ao fator ecologia, </w:t>
            </w:r>
            <w:r w:rsidRPr="003E45AF">
              <w:rPr>
                <w:rFonts w:asciiTheme="minorHAnsi" w:eastAsia="Calibri" w:hAnsiTheme="minorHAnsi" w:cs="Calibri"/>
                <w:szCs w:val="22"/>
              </w:rPr>
              <w:t>não estão em causa habitats naturais, nem espécies com estatuto de conservação, não obstante os impactes significativos provocados pela extração.</w:t>
            </w:r>
          </w:p>
          <w:p w:rsidR="003E45AF" w:rsidRPr="003E45AF" w:rsidRDefault="003E45AF" w:rsidP="003E45AF">
            <w:pPr>
              <w:widowControl w:val="0"/>
              <w:autoSpaceDE w:val="0"/>
              <w:autoSpaceDN w:val="0"/>
              <w:adjustRightInd w:val="0"/>
              <w:spacing w:before="120" w:after="120" w:line="360" w:lineRule="auto"/>
              <w:rPr>
                <w:rFonts w:asciiTheme="minorHAnsi" w:eastAsia="Calibri" w:hAnsiTheme="minorHAnsi" w:cs="Calibri"/>
                <w:szCs w:val="22"/>
              </w:rPr>
            </w:pPr>
            <w:r w:rsidRPr="003E45AF">
              <w:rPr>
                <w:rFonts w:asciiTheme="minorHAnsi" w:hAnsiTheme="minorHAnsi" w:cs="Calibri"/>
                <w:szCs w:val="22"/>
              </w:rPr>
              <w:t>A</w:t>
            </w:r>
            <w:r w:rsidRPr="003E45AF">
              <w:rPr>
                <w:rFonts w:asciiTheme="minorHAnsi" w:eastAsia="Calibri" w:hAnsiTheme="minorHAnsi" w:cs="Calibri"/>
                <w:szCs w:val="22"/>
              </w:rPr>
              <w:t xml:space="preserve"> correta aplicação do Plano Ambiental de Recuperação Paisagístico (PARP) poderá permitir a criação de condições que levem ao restabelecimento futuro dos habitats naturais. </w:t>
            </w:r>
          </w:p>
          <w:p w:rsidR="003E45AF" w:rsidRDefault="003E45AF" w:rsidP="003E45AF">
            <w:pPr>
              <w:widowControl w:val="0"/>
              <w:autoSpaceDE w:val="0"/>
              <w:autoSpaceDN w:val="0"/>
              <w:adjustRightInd w:val="0"/>
              <w:spacing w:before="120" w:after="120" w:line="360" w:lineRule="auto"/>
              <w:rPr>
                <w:rFonts w:asciiTheme="minorHAnsi" w:eastAsia="Calibri" w:hAnsiTheme="minorHAnsi" w:cs="Calibri"/>
                <w:szCs w:val="22"/>
              </w:rPr>
            </w:pPr>
            <w:r w:rsidRPr="003E45AF">
              <w:rPr>
                <w:rFonts w:asciiTheme="minorHAnsi" w:eastAsia="Calibri" w:hAnsiTheme="minorHAnsi" w:cs="Calibri"/>
                <w:szCs w:val="22"/>
              </w:rPr>
              <w:t>Os impactes relativos ao fator Geologia, Geomorfologia e Recursos Minerais são negativos, pouco significativos ou significativos, sendo minimizáveis desde que implementadas as Medidas e Minimização constantes do anexo I. De referir, que a extração do recurso também reflete um impacte positivo, na medida que contribui para</w:t>
            </w:r>
            <w:r w:rsidR="006F5C9A">
              <w:rPr>
                <w:rFonts w:asciiTheme="minorHAnsi" w:eastAsia="Calibri" w:hAnsiTheme="minorHAnsi" w:cs="Calibri"/>
                <w:szCs w:val="22"/>
              </w:rPr>
              <w:t xml:space="preserve"> o desenvolvimento da economia.</w:t>
            </w:r>
          </w:p>
          <w:p w:rsidR="006F5C9A" w:rsidRPr="003E45AF" w:rsidRDefault="006F5C9A" w:rsidP="003E45AF">
            <w:pPr>
              <w:widowControl w:val="0"/>
              <w:autoSpaceDE w:val="0"/>
              <w:autoSpaceDN w:val="0"/>
              <w:adjustRightInd w:val="0"/>
              <w:spacing w:before="120" w:after="120" w:line="360" w:lineRule="auto"/>
              <w:rPr>
                <w:rFonts w:asciiTheme="minorHAnsi" w:eastAsia="Calibri" w:hAnsiTheme="minorHAnsi" w:cs="Calibri"/>
                <w:szCs w:val="22"/>
              </w:rPr>
            </w:pPr>
            <w:r>
              <w:rPr>
                <w:rFonts w:asciiTheme="minorHAnsi" w:eastAsia="Calibri" w:hAnsiTheme="minorHAnsi" w:cs="Calibri"/>
                <w:szCs w:val="22"/>
              </w:rPr>
              <w:t>O Plano de Ordenamento do Parque Natural da Serra de Aire e Candeeiros identifica alguns geossítios</w:t>
            </w:r>
            <w:r w:rsidR="00983A26">
              <w:rPr>
                <w:rFonts w:asciiTheme="minorHAnsi" w:eastAsia="Calibri" w:hAnsiTheme="minorHAnsi" w:cs="Calibri"/>
                <w:szCs w:val="22"/>
              </w:rPr>
              <w:t xml:space="preserve"> próximos da área de exploração, os quais se considera que não serão afetados pelo projeto, nomeadamente as cavidades do Algar das Gralhas I e o Algar das Gralhas VII.</w:t>
            </w:r>
          </w:p>
          <w:p w:rsidR="003E45AF" w:rsidRPr="003E45AF" w:rsidRDefault="003E45AF" w:rsidP="003E45AF">
            <w:pPr>
              <w:widowControl w:val="0"/>
              <w:autoSpaceDE w:val="0"/>
              <w:autoSpaceDN w:val="0"/>
              <w:adjustRightInd w:val="0"/>
              <w:spacing w:before="120" w:after="120" w:line="360" w:lineRule="auto"/>
              <w:rPr>
                <w:rFonts w:asciiTheme="minorHAnsi" w:eastAsia="Calibri" w:hAnsiTheme="minorHAnsi" w:cs="Calibri"/>
                <w:szCs w:val="22"/>
              </w:rPr>
            </w:pPr>
            <w:r w:rsidRPr="003E45AF">
              <w:rPr>
                <w:rFonts w:asciiTheme="minorHAnsi" w:eastAsia="Calibri" w:hAnsiTheme="minorHAnsi" w:cs="Calibri"/>
                <w:szCs w:val="22"/>
              </w:rPr>
              <w:t>Do ponto de vista do fator ambiental Solo e Uso do Solo, os impactes são negativos, pouco significativos, minimizáveis com a implementação do PARP.</w:t>
            </w:r>
          </w:p>
          <w:p w:rsidR="003E45AF" w:rsidRPr="003E45AF" w:rsidRDefault="003E45AF" w:rsidP="003E45AF">
            <w:pPr>
              <w:spacing w:before="120" w:after="120" w:line="360" w:lineRule="auto"/>
              <w:rPr>
                <w:rFonts w:asciiTheme="minorHAnsi" w:eastAsia="Calibri" w:hAnsiTheme="minorHAnsi" w:cs="Microsoft Sans Serif"/>
                <w:szCs w:val="22"/>
              </w:rPr>
            </w:pPr>
            <w:r w:rsidRPr="003E45AF">
              <w:rPr>
                <w:rFonts w:asciiTheme="minorHAnsi" w:eastAsia="Calibri" w:hAnsiTheme="minorHAnsi" w:cs="Microsoft Sans Serif"/>
                <w:szCs w:val="22"/>
              </w:rPr>
              <w:t xml:space="preserve">Quanto ao fator socioeconomia os impactes são negativos pouco significativos na fase de exploração do recurso, associado ao volume de </w:t>
            </w:r>
            <w:r w:rsidRPr="003E45AF">
              <w:rPr>
                <w:rFonts w:asciiTheme="minorHAnsi" w:eastAsia="Calibri" w:hAnsiTheme="minorHAnsi" w:cs="Microsoft Sans Serif"/>
                <w:szCs w:val="22"/>
              </w:rPr>
              <w:lastRenderedPageBreak/>
              <w:t>tráfego e afetação das condições de circulação. Há, no entanto, a considerar, impacte positivo, uma vez que o projeto contribui para o desempenho económico da empresa.</w:t>
            </w:r>
          </w:p>
          <w:p w:rsidR="003E45AF" w:rsidRPr="003E45AF" w:rsidRDefault="003E45AF" w:rsidP="003E45AF">
            <w:pPr>
              <w:spacing w:before="120" w:after="120" w:line="360" w:lineRule="auto"/>
              <w:rPr>
                <w:rFonts w:asciiTheme="minorHAnsi" w:eastAsia="Calibri" w:hAnsiTheme="minorHAnsi" w:cs="Microsoft Sans Serif"/>
                <w:szCs w:val="22"/>
              </w:rPr>
            </w:pPr>
            <w:r w:rsidRPr="003E45AF">
              <w:rPr>
                <w:rFonts w:asciiTheme="minorHAnsi" w:eastAsia="Calibri" w:hAnsiTheme="minorHAnsi" w:cs="Microsoft Sans Serif"/>
                <w:szCs w:val="22"/>
              </w:rPr>
              <w:t>Os efeitos negativos gerados pelo projeto não traduzem uma significância impeditiva da sua prossecução e são suscetíveis de minimização desde que implementadas as medidas de minimização.</w:t>
            </w:r>
          </w:p>
          <w:p w:rsidR="009E57D9" w:rsidRDefault="00CE1C17" w:rsidP="00CE1C17">
            <w:pPr>
              <w:spacing w:before="120" w:after="120" w:line="360" w:lineRule="auto"/>
              <w:rPr>
                <w:rFonts w:asciiTheme="minorHAnsi" w:eastAsia="Calibri" w:hAnsiTheme="minorHAnsi" w:cs="Microsoft Sans Serif"/>
                <w:szCs w:val="22"/>
              </w:rPr>
            </w:pPr>
            <w:r>
              <w:rPr>
                <w:rFonts w:asciiTheme="minorHAnsi" w:eastAsia="Calibri" w:hAnsiTheme="minorHAnsi" w:cs="Microsoft Sans Serif"/>
                <w:szCs w:val="22"/>
              </w:rPr>
              <w:t>O</w:t>
            </w:r>
            <w:r w:rsidR="003E45AF" w:rsidRPr="003E45AF">
              <w:rPr>
                <w:rFonts w:asciiTheme="minorHAnsi" w:eastAsia="Calibri" w:hAnsiTheme="minorHAnsi" w:cs="Microsoft Sans Serif"/>
                <w:szCs w:val="22"/>
              </w:rPr>
              <w:t xml:space="preserve"> cálculo do Índice Ponderado previsto no nº1 do art.º 18º do Decreto-Lei nº 151-B, de 31 de outubro, </w:t>
            </w:r>
            <w:r>
              <w:rPr>
                <w:rFonts w:asciiTheme="minorHAnsi" w:eastAsia="Calibri" w:hAnsiTheme="minorHAnsi" w:cs="Microsoft Sans Serif"/>
                <w:szCs w:val="22"/>
              </w:rPr>
              <w:t xml:space="preserve">foi aplicado pela Comissão de Avaliação, tendo obtido um valor </w:t>
            </w:r>
            <w:r w:rsidR="003E45AF" w:rsidRPr="003E45AF">
              <w:rPr>
                <w:rFonts w:asciiTheme="minorHAnsi" w:eastAsia="Calibri" w:hAnsiTheme="minorHAnsi" w:cs="Microsoft Sans Serif"/>
                <w:szCs w:val="22"/>
              </w:rPr>
              <w:t>4</w:t>
            </w:r>
            <w:r>
              <w:rPr>
                <w:rFonts w:asciiTheme="minorHAnsi" w:eastAsia="Calibri" w:hAnsiTheme="minorHAnsi" w:cs="Microsoft Sans Serif"/>
                <w:szCs w:val="22"/>
              </w:rPr>
              <w:t>.</w:t>
            </w:r>
          </w:p>
          <w:p w:rsidR="00CE1C17" w:rsidRPr="003E45AF" w:rsidRDefault="00CE1C17" w:rsidP="003A75AD">
            <w:pPr>
              <w:spacing w:before="120" w:after="120" w:line="360" w:lineRule="auto"/>
              <w:rPr>
                <w:rFonts w:asciiTheme="minorHAnsi" w:eastAsia="Calibri" w:hAnsiTheme="minorHAnsi" w:cs="Microsoft Sans Serif"/>
                <w:szCs w:val="22"/>
              </w:rPr>
            </w:pPr>
            <w:r>
              <w:rPr>
                <w:rFonts w:asciiTheme="minorHAnsi" w:eastAsia="Calibri" w:hAnsiTheme="minorHAnsi" w:cs="Microsoft Sans Serif"/>
                <w:szCs w:val="22"/>
              </w:rPr>
              <w:t>Do exposto</w:t>
            </w:r>
            <w:r w:rsidR="00F15E87">
              <w:rPr>
                <w:rFonts w:asciiTheme="minorHAnsi" w:eastAsia="Calibri" w:hAnsiTheme="minorHAnsi" w:cs="Microsoft Sans Serif"/>
                <w:szCs w:val="22"/>
              </w:rPr>
              <w:t>, não se identificando</w:t>
            </w:r>
            <w:r w:rsidR="003A75AD">
              <w:rPr>
                <w:rFonts w:asciiTheme="minorHAnsi" w:eastAsia="Calibri" w:hAnsiTheme="minorHAnsi" w:cs="Microsoft Sans Serif"/>
                <w:szCs w:val="22"/>
              </w:rPr>
              <w:t xml:space="preserve"> impactes</w:t>
            </w:r>
            <w:r w:rsidR="00F15E87">
              <w:rPr>
                <w:rFonts w:asciiTheme="minorHAnsi" w:eastAsia="Calibri" w:hAnsiTheme="minorHAnsi" w:cs="Microsoft Sans Serif"/>
                <w:szCs w:val="22"/>
              </w:rPr>
              <w:t xml:space="preserve"> impeditivos da atividade e valorizando-se os impactes socioeconómicos, emite-se DIA </w:t>
            </w:r>
            <w:r w:rsidR="003A75AD">
              <w:rPr>
                <w:rFonts w:asciiTheme="minorHAnsi" w:eastAsia="Calibri" w:hAnsiTheme="minorHAnsi" w:cs="Microsoft Sans Serif"/>
                <w:szCs w:val="22"/>
              </w:rPr>
              <w:t>F</w:t>
            </w:r>
            <w:r w:rsidR="00F15E87">
              <w:rPr>
                <w:rFonts w:asciiTheme="minorHAnsi" w:eastAsia="Calibri" w:hAnsiTheme="minorHAnsi" w:cs="Microsoft Sans Serif"/>
                <w:szCs w:val="22"/>
              </w:rPr>
              <w:t>avorável Condicionada ao projeto de Ampliação da Pedreira Chainça nº 5.</w:t>
            </w:r>
          </w:p>
        </w:tc>
      </w:tr>
    </w:tbl>
    <w:p w:rsidR="003B4E34" w:rsidRPr="003E45AF" w:rsidRDefault="003B4E34">
      <w:pPr>
        <w:rPr>
          <w:rFonts w:asciiTheme="minorHAnsi" w:hAnsiTheme="minorHAnsi"/>
          <w:szCs w:val="22"/>
        </w:rPr>
      </w:pPr>
    </w:p>
    <w:sectPr w:rsidR="003B4E34" w:rsidRPr="003E45AF" w:rsidSect="00B5616D">
      <w:headerReference w:type="default" r:id="rId8"/>
      <w:footerReference w:type="even" r:id="rId9"/>
      <w:footerReference w:type="default" r:id="rId10"/>
      <w:pgSz w:w="11906" w:h="16838"/>
      <w:pgMar w:top="1701"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8B8" w:rsidRDefault="00E458B8">
      <w:pPr>
        <w:spacing w:before="0"/>
      </w:pPr>
      <w:r>
        <w:separator/>
      </w:r>
    </w:p>
  </w:endnote>
  <w:endnote w:type="continuationSeparator" w:id="0">
    <w:p w:rsidR="00E458B8" w:rsidRDefault="00E458B8">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NPDD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TT15Ct00">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88" w:rsidRDefault="00F57F46">
    <w:pPr>
      <w:pStyle w:val="Rodap"/>
      <w:framePr w:wrap="around" w:vAnchor="text" w:hAnchor="margin" w:xAlign="right" w:y="1"/>
      <w:rPr>
        <w:rStyle w:val="Nmerodepgina"/>
      </w:rPr>
    </w:pPr>
    <w:r>
      <w:rPr>
        <w:rStyle w:val="Nmerodepgina"/>
      </w:rPr>
      <w:fldChar w:fldCharType="begin"/>
    </w:r>
    <w:r w:rsidR="002F5C88">
      <w:rPr>
        <w:rStyle w:val="Nmerodepgina"/>
      </w:rPr>
      <w:instrText xml:space="preserve">PAGE  </w:instrText>
    </w:r>
    <w:r>
      <w:rPr>
        <w:rStyle w:val="Nmerodepgina"/>
      </w:rPr>
      <w:fldChar w:fldCharType="end"/>
    </w:r>
  </w:p>
  <w:p w:rsidR="002F5C88" w:rsidRDefault="002F5C88">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6192"/>
      <w:docPartObj>
        <w:docPartGallery w:val="Page Numbers (Bottom of Page)"/>
        <w:docPartUnique/>
      </w:docPartObj>
    </w:sdtPr>
    <w:sdtContent>
      <w:p w:rsidR="002F5C88" w:rsidRDefault="00F57F46">
        <w:pPr>
          <w:pStyle w:val="Rodap"/>
          <w:jc w:val="right"/>
        </w:pPr>
        <w:fldSimple w:instr=" PAGE   \* MERGEFORMAT ">
          <w:r w:rsidR="00D51F5A">
            <w:rPr>
              <w:noProof/>
            </w:rPr>
            <w:t>1</w:t>
          </w:r>
        </w:fldSimple>
      </w:p>
    </w:sdtContent>
  </w:sdt>
  <w:p w:rsidR="002F5C88" w:rsidRPr="002E2C1E" w:rsidRDefault="002F5C88" w:rsidP="007957E8">
    <w:pPr>
      <w:pStyle w:val="Rodap"/>
      <w:spacing w:before="0"/>
      <w:jc w:val="left"/>
      <w:rPr>
        <w:rFonts w:ascii="Trebuchet MS" w:hAnsi="Trebuchet MS"/>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8B8" w:rsidRDefault="00E458B8">
      <w:pPr>
        <w:spacing w:before="0"/>
      </w:pPr>
      <w:r>
        <w:separator/>
      </w:r>
    </w:p>
  </w:footnote>
  <w:footnote w:type="continuationSeparator" w:id="0">
    <w:p w:rsidR="00E458B8" w:rsidRDefault="00E458B8">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88" w:rsidRDefault="002F5C88" w:rsidP="009F2852">
    <w:pPr>
      <w:pStyle w:val="Cabealho"/>
      <w:jc w:val="center"/>
      <w:rPr>
        <w:sz w:val="8"/>
      </w:rPr>
    </w:pPr>
    <w:r>
      <w:rPr>
        <w:noProof/>
        <w:sz w:val="8"/>
      </w:rPr>
      <w:drawing>
        <wp:anchor distT="0" distB="0" distL="114300" distR="114300" simplePos="0" relativeHeight="251657728" behindDoc="1" locked="0" layoutInCell="1" allowOverlap="1">
          <wp:simplePos x="0" y="0"/>
          <wp:positionH relativeFrom="column">
            <wp:posOffset>-443230</wp:posOffset>
          </wp:positionH>
          <wp:positionV relativeFrom="paragraph">
            <wp:posOffset>-363855</wp:posOffset>
          </wp:positionV>
          <wp:extent cx="2533650" cy="990600"/>
          <wp:effectExtent l="19050" t="0" r="0" b="0"/>
          <wp:wrapTight wrapText="bothSides">
            <wp:wrapPolygon edited="0">
              <wp:start x="-162" y="0"/>
              <wp:lineTo x="-162" y="21185"/>
              <wp:lineTo x="21600" y="21185"/>
              <wp:lineTo x="21600" y="0"/>
              <wp:lineTo x="-162" y="0"/>
            </wp:wrapPolygon>
          </wp:wrapTight>
          <wp:docPr id="2"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 Título"/>
                  <pic:cNvPicPr>
                    <a:picLocks noChangeAspect="1" noChangeArrowheads="1"/>
                  </pic:cNvPicPr>
                </pic:nvPicPr>
                <pic:blipFill>
                  <a:blip r:embed="rId1"/>
                  <a:srcRect/>
                  <a:stretch>
                    <a:fillRect/>
                  </a:stretch>
                </pic:blipFill>
                <pic:spPr bwMode="auto">
                  <a:xfrm>
                    <a:off x="0" y="0"/>
                    <a:ext cx="2533650" cy="990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4C3C"/>
    <w:multiLevelType w:val="multilevel"/>
    <w:tmpl w:val="AE384674"/>
    <w:lvl w:ilvl="0">
      <w:start w:val="2"/>
      <w:numFmt w:val="decimal"/>
      <w:lvlText w:val="%1."/>
      <w:lvlJc w:val="left"/>
      <w:pPr>
        <w:ind w:left="360" w:hanging="360"/>
      </w:pPr>
      <w:rPr>
        <w:rFonts w:hint="default"/>
        <w:color w:val="000000"/>
      </w:rPr>
    </w:lvl>
    <w:lvl w:ilvl="1">
      <w:start w:val="1"/>
      <w:numFmt w:val="decimal"/>
      <w:lvlText w:val="%2-"/>
      <w:lvlJc w:val="left"/>
      <w:pPr>
        <w:ind w:left="862" w:hanging="360"/>
      </w:pPr>
      <w:rPr>
        <w:rFonts w:asciiTheme="minorHAnsi" w:eastAsia="Times New Roman" w:hAnsiTheme="minorHAnsi" w:cs="Times New Roman"/>
        <w:color w:val="000000"/>
      </w:rPr>
    </w:lvl>
    <w:lvl w:ilvl="2">
      <w:start w:val="1"/>
      <w:numFmt w:val="decimal"/>
      <w:lvlText w:val="%1.%2-%3."/>
      <w:lvlJc w:val="left"/>
      <w:pPr>
        <w:ind w:left="1724" w:hanging="720"/>
      </w:pPr>
      <w:rPr>
        <w:rFonts w:hint="default"/>
        <w:color w:val="000000"/>
      </w:rPr>
    </w:lvl>
    <w:lvl w:ilvl="3">
      <w:start w:val="1"/>
      <w:numFmt w:val="decimal"/>
      <w:lvlText w:val="%1.%2-%3.%4."/>
      <w:lvlJc w:val="left"/>
      <w:pPr>
        <w:ind w:left="2226" w:hanging="720"/>
      </w:pPr>
      <w:rPr>
        <w:rFonts w:hint="default"/>
        <w:color w:val="000000"/>
      </w:rPr>
    </w:lvl>
    <w:lvl w:ilvl="4">
      <w:start w:val="1"/>
      <w:numFmt w:val="decimal"/>
      <w:lvlText w:val="%1.%2-%3.%4.%5."/>
      <w:lvlJc w:val="left"/>
      <w:pPr>
        <w:ind w:left="3088" w:hanging="1080"/>
      </w:pPr>
      <w:rPr>
        <w:rFonts w:hint="default"/>
        <w:color w:val="000000"/>
      </w:rPr>
    </w:lvl>
    <w:lvl w:ilvl="5">
      <w:start w:val="1"/>
      <w:numFmt w:val="decimal"/>
      <w:lvlText w:val="%1.%2-%3.%4.%5.%6."/>
      <w:lvlJc w:val="left"/>
      <w:pPr>
        <w:ind w:left="3590" w:hanging="1080"/>
      </w:pPr>
      <w:rPr>
        <w:rFonts w:hint="default"/>
        <w:color w:val="000000"/>
      </w:rPr>
    </w:lvl>
    <w:lvl w:ilvl="6">
      <w:start w:val="1"/>
      <w:numFmt w:val="decimal"/>
      <w:lvlText w:val="%1.%2-%3.%4.%5.%6.%7."/>
      <w:lvlJc w:val="left"/>
      <w:pPr>
        <w:ind w:left="4452" w:hanging="1440"/>
      </w:pPr>
      <w:rPr>
        <w:rFonts w:hint="default"/>
        <w:color w:val="000000"/>
      </w:rPr>
    </w:lvl>
    <w:lvl w:ilvl="7">
      <w:start w:val="1"/>
      <w:numFmt w:val="decimal"/>
      <w:lvlText w:val="%1.%2-%3.%4.%5.%6.%7.%8."/>
      <w:lvlJc w:val="left"/>
      <w:pPr>
        <w:ind w:left="4954" w:hanging="1440"/>
      </w:pPr>
      <w:rPr>
        <w:rFonts w:hint="default"/>
        <w:color w:val="000000"/>
      </w:rPr>
    </w:lvl>
    <w:lvl w:ilvl="8">
      <w:start w:val="1"/>
      <w:numFmt w:val="decimal"/>
      <w:lvlText w:val="%1.%2-%3.%4.%5.%6.%7.%8.%9."/>
      <w:lvlJc w:val="left"/>
      <w:pPr>
        <w:ind w:left="5816" w:hanging="1800"/>
      </w:pPr>
      <w:rPr>
        <w:rFonts w:hint="default"/>
        <w:color w:val="000000"/>
      </w:rPr>
    </w:lvl>
  </w:abstractNum>
  <w:abstractNum w:abstractNumId="1">
    <w:nsid w:val="095B1DD5"/>
    <w:multiLevelType w:val="hybridMultilevel"/>
    <w:tmpl w:val="5B94D8AC"/>
    <w:lvl w:ilvl="0" w:tplc="B3683A8C">
      <w:start w:val="1"/>
      <w:numFmt w:val="decimal"/>
      <w:lvlText w:val="%1-"/>
      <w:lvlJc w:val="left"/>
      <w:pPr>
        <w:ind w:left="720" w:hanging="360"/>
      </w:pPr>
      <w:rPr>
        <w:rFonts w:asciiTheme="minorHAnsi" w:hAnsiTheme="minorHAnsi" w:cs="ArialNarrow"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0A6208F5"/>
    <w:multiLevelType w:val="hybridMultilevel"/>
    <w:tmpl w:val="61BCFD1A"/>
    <w:lvl w:ilvl="0" w:tplc="08160001">
      <w:start w:val="1"/>
      <w:numFmt w:val="bullet"/>
      <w:lvlText w:val=""/>
      <w:lvlJc w:val="left"/>
      <w:pPr>
        <w:ind w:left="1440" w:hanging="360"/>
      </w:pPr>
      <w:rPr>
        <w:rFonts w:ascii="Symbol" w:hAnsi="Symbol" w:hint="default"/>
      </w:rPr>
    </w:lvl>
    <w:lvl w:ilvl="1" w:tplc="08160003">
      <w:start w:val="1"/>
      <w:numFmt w:val="decimal"/>
      <w:lvlText w:val="%2."/>
      <w:lvlJc w:val="left"/>
      <w:pPr>
        <w:tabs>
          <w:tab w:val="num" w:pos="1440"/>
        </w:tabs>
        <w:ind w:left="1440" w:hanging="360"/>
      </w:pPr>
    </w:lvl>
    <w:lvl w:ilvl="2" w:tplc="08160005">
      <w:start w:val="1"/>
      <w:numFmt w:val="decimal"/>
      <w:lvlText w:val="%3."/>
      <w:lvlJc w:val="left"/>
      <w:pPr>
        <w:tabs>
          <w:tab w:val="num" w:pos="2160"/>
        </w:tabs>
        <w:ind w:left="2160" w:hanging="360"/>
      </w:pPr>
    </w:lvl>
    <w:lvl w:ilvl="3" w:tplc="08160001">
      <w:start w:val="1"/>
      <w:numFmt w:val="decimal"/>
      <w:lvlText w:val="%4."/>
      <w:lvlJc w:val="left"/>
      <w:pPr>
        <w:tabs>
          <w:tab w:val="num" w:pos="2880"/>
        </w:tabs>
        <w:ind w:left="2880" w:hanging="360"/>
      </w:pPr>
    </w:lvl>
    <w:lvl w:ilvl="4" w:tplc="08160003">
      <w:start w:val="1"/>
      <w:numFmt w:val="decimal"/>
      <w:lvlText w:val="%5."/>
      <w:lvlJc w:val="left"/>
      <w:pPr>
        <w:tabs>
          <w:tab w:val="num" w:pos="3600"/>
        </w:tabs>
        <w:ind w:left="3600" w:hanging="360"/>
      </w:pPr>
    </w:lvl>
    <w:lvl w:ilvl="5" w:tplc="08160005">
      <w:start w:val="1"/>
      <w:numFmt w:val="decimal"/>
      <w:lvlText w:val="%6."/>
      <w:lvlJc w:val="left"/>
      <w:pPr>
        <w:tabs>
          <w:tab w:val="num" w:pos="4320"/>
        </w:tabs>
        <w:ind w:left="4320" w:hanging="360"/>
      </w:pPr>
    </w:lvl>
    <w:lvl w:ilvl="6" w:tplc="08160001">
      <w:start w:val="1"/>
      <w:numFmt w:val="decimal"/>
      <w:lvlText w:val="%7."/>
      <w:lvlJc w:val="left"/>
      <w:pPr>
        <w:tabs>
          <w:tab w:val="num" w:pos="5040"/>
        </w:tabs>
        <w:ind w:left="5040" w:hanging="360"/>
      </w:pPr>
    </w:lvl>
    <w:lvl w:ilvl="7" w:tplc="08160003">
      <w:start w:val="1"/>
      <w:numFmt w:val="decimal"/>
      <w:lvlText w:val="%8."/>
      <w:lvlJc w:val="left"/>
      <w:pPr>
        <w:tabs>
          <w:tab w:val="num" w:pos="5760"/>
        </w:tabs>
        <w:ind w:left="5760" w:hanging="360"/>
      </w:pPr>
    </w:lvl>
    <w:lvl w:ilvl="8" w:tplc="08160005">
      <w:start w:val="1"/>
      <w:numFmt w:val="decimal"/>
      <w:lvlText w:val="%9."/>
      <w:lvlJc w:val="left"/>
      <w:pPr>
        <w:tabs>
          <w:tab w:val="num" w:pos="6480"/>
        </w:tabs>
        <w:ind w:left="6480" w:hanging="360"/>
      </w:pPr>
    </w:lvl>
  </w:abstractNum>
  <w:abstractNum w:abstractNumId="3">
    <w:nsid w:val="0FA73F31"/>
    <w:multiLevelType w:val="hybridMultilevel"/>
    <w:tmpl w:val="D486A10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129641B3"/>
    <w:multiLevelType w:val="hybridMultilevel"/>
    <w:tmpl w:val="415A68C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12EE7575"/>
    <w:multiLevelType w:val="hybridMultilevel"/>
    <w:tmpl w:val="F260D6A4"/>
    <w:lvl w:ilvl="0" w:tplc="07B6120E">
      <w:start w:val="13"/>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C325F"/>
    <w:multiLevelType w:val="hybridMultilevel"/>
    <w:tmpl w:val="90322FAA"/>
    <w:lvl w:ilvl="0" w:tplc="43C2C38E">
      <w:start w:val="1"/>
      <w:numFmt w:val="decimal"/>
      <w:lvlText w:val="%1-"/>
      <w:lvlJc w:val="left"/>
      <w:pPr>
        <w:ind w:left="720" w:hanging="360"/>
      </w:pPr>
      <w:rPr>
        <w:rFonts w:cs="Aria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17B243B5"/>
    <w:multiLevelType w:val="hybridMultilevel"/>
    <w:tmpl w:val="7B80787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1B647A13"/>
    <w:multiLevelType w:val="hybridMultilevel"/>
    <w:tmpl w:val="8C16B9FC"/>
    <w:lvl w:ilvl="0" w:tplc="3AB46FE2">
      <w:start w:val="1"/>
      <w:numFmt w:val="lowerLetter"/>
      <w:lvlText w:val="%1)"/>
      <w:lvlJc w:val="left"/>
      <w:pPr>
        <w:ind w:left="765" w:hanging="360"/>
      </w:pPr>
      <w:rPr>
        <w:rFonts w:asciiTheme="minorHAnsi" w:hAnsiTheme="minorHAnsi" w:hint="default"/>
      </w:rPr>
    </w:lvl>
    <w:lvl w:ilvl="1" w:tplc="08160019" w:tentative="1">
      <w:start w:val="1"/>
      <w:numFmt w:val="lowerLetter"/>
      <w:lvlText w:val="%2."/>
      <w:lvlJc w:val="left"/>
      <w:pPr>
        <w:ind w:left="1485" w:hanging="360"/>
      </w:pPr>
    </w:lvl>
    <w:lvl w:ilvl="2" w:tplc="0816001B" w:tentative="1">
      <w:start w:val="1"/>
      <w:numFmt w:val="lowerRoman"/>
      <w:lvlText w:val="%3."/>
      <w:lvlJc w:val="right"/>
      <w:pPr>
        <w:ind w:left="2205" w:hanging="180"/>
      </w:pPr>
    </w:lvl>
    <w:lvl w:ilvl="3" w:tplc="0816000F" w:tentative="1">
      <w:start w:val="1"/>
      <w:numFmt w:val="decimal"/>
      <w:lvlText w:val="%4."/>
      <w:lvlJc w:val="left"/>
      <w:pPr>
        <w:ind w:left="2925" w:hanging="360"/>
      </w:pPr>
    </w:lvl>
    <w:lvl w:ilvl="4" w:tplc="08160019" w:tentative="1">
      <w:start w:val="1"/>
      <w:numFmt w:val="lowerLetter"/>
      <w:lvlText w:val="%5."/>
      <w:lvlJc w:val="left"/>
      <w:pPr>
        <w:ind w:left="3645" w:hanging="360"/>
      </w:pPr>
    </w:lvl>
    <w:lvl w:ilvl="5" w:tplc="0816001B" w:tentative="1">
      <w:start w:val="1"/>
      <w:numFmt w:val="lowerRoman"/>
      <w:lvlText w:val="%6."/>
      <w:lvlJc w:val="right"/>
      <w:pPr>
        <w:ind w:left="4365" w:hanging="180"/>
      </w:pPr>
    </w:lvl>
    <w:lvl w:ilvl="6" w:tplc="0816000F" w:tentative="1">
      <w:start w:val="1"/>
      <w:numFmt w:val="decimal"/>
      <w:lvlText w:val="%7."/>
      <w:lvlJc w:val="left"/>
      <w:pPr>
        <w:ind w:left="5085" w:hanging="360"/>
      </w:pPr>
    </w:lvl>
    <w:lvl w:ilvl="7" w:tplc="08160019" w:tentative="1">
      <w:start w:val="1"/>
      <w:numFmt w:val="lowerLetter"/>
      <w:lvlText w:val="%8."/>
      <w:lvlJc w:val="left"/>
      <w:pPr>
        <w:ind w:left="5805" w:hanging="360"/>
      </w:pPr>
    </w:lvl>
    <w:lvl w:ilvl="8" w:tplc="0816001B" w:tentative="1">
      <w:start w:val="1"/>
      <w:numFmt w:val="lowerRoman"/>
      <w:lvlText w:val="%9."/>
      <w:lvlJc w:val="right"/>
      <w:pPr>
        <w:ind w:left="6525" w:hanging="180"/>
      </w:pPr>
    </w:lvl>
  </w:abstractNum>
  <w:abstractNum w:abstractNumId="9">
    <w:nsid w:val="1CE81DBB"/>
    <w:multiLevelType w:val="multilevel"/>
    <w:tmpl w:val="ABDEE3C0"/>
    <w:lvl w:ilvl="0">
      <w:start w:val="6"/>
      <w:numFmt w:val="decimal"/>
      <w:lvlText w:val="%1"/>
      <w:lvlJc w:val="left"/>
      <w:pPr>
        <w:ind w:left="435" w:hanging="435"/>
      </w:pPr>
    </w:lvl>
    <w:lvl w:ilvl="1">
      <w:start w:val="1"/>
      <w:numFmt w:val="decimal"/>
      <w:lvlText w:val="%1.%2"/>
      <w:lvlJc w:val="left"/>
      <w:pPr>
        <w:ind w:left="615" w:hanging="435"/>
      </w:pPr>
    </w:lvl>
    <w:lvl w:ilvl="2">
      <w:start w:val="1"/>
      <w:numFmt w:val="decimal"/>
      <w:lvlText w:val="%3."/>
      <w:lvlJc w:val="left"/>
      <w:pPr>
        <w:ind w:left="1080" w:hanging="720"/>
      </w:pPr>
      <w:rPr>
        <w:rFonts w:ascii="Calibri" w:eastAsia="Times New Roman" w:hAnsi="Calibri" w:cs="Arial"/>
        <w:b/>
        <w:color w:val="000000"/>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0">
    <w:nsid w:val="21E334E3"/>
    <w:multiLevelType w:val="hybridMultilevel"/>
    <w:tmpl w:val="43F0C252"/>
    <w:lvl w:ilvl="0" w:tplc="945AD32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22AB3523"/>
    <w:multiLevelType w:val="hybridMultilevel"/>
    <w:tmpl w:val="1CDEE110"/>
    <w:lvl w:ilvl="0" w:tplc="1DEC28D0">
      <w:start w:val="1"/>
      <w:numFmt w:val="decimal"/>
      <w:lvlText w:val="%1-"/>
      <w:lvlJc w:val="left"/>
      <w:pPr>
        <w:ind w:left="390" w:hanging="360"/>
      </w:pPr>
      <w:rPr>
        <w:rFonts w:hint="default"/>
      </w:rPr>
    </w:lvl>
    <w:lvl w:ilvl="1" w:tplc="08160019" w:tentative="1">
      <w:start w:val="1"/>
      <w:numFmt w:val="lowerLetter"/>
      <w:lvlText w:val="%2."/>
      <w:lvlJc w:val="left"/>
      <w:pPr>
        <w:ind w:left="1110" w:hanging="360"/>
      </w:pPr>
    </w:lvl>
    <w:lvl w:ilvl="2" w:tplc="0816001B" w:tentative="1">
      <w:start w:val="1"/>
      <w:numFmt w:val="lowerRoman"/>
      <w:lvlText w:val="%3."/>
      <w:lvlJc w:val="right"/>
      <w:pPr>
        <w:ind w:left="1830" w:hanging="180"/>
      </w:pPr>
    </w:lvl>
    <w:lvl w:ilvl="3" w:tplc="0816000F" w:tentative="1">
      <w:start w:val="1"/>
      <w:numFmt w:val="decimal"/>
      <w:lvlText w:val="%4."/>
      <w:lvlJc w:val="left"/>
      <w:pPr>
        <w:ind w:left="2550" w:hanging="360"/>
      </w:pPr>
    </w:lvl>
    <w:lvl w:ilvl="4" w:tplc="08160019" w:tentative="1">
      <w:start w:val="1"/>
      <w:numFmt w:val="lowerLetter"/>
      <w:lvlText w:val="%5."/>
      <w:lvlJc w:val="left"/>
      <w:pPr>
        <w:ind w:left="3270" w:hanging="360"/>
      </w:pPr>
    </w:lvl>
    <w:lvl w:ilvl="5" w:tplc="0816001B" w:tentative="1">
      <w:start w:val="1"/>
      <w:numFmt w:val="lowerRoman"/>
      <w:lvlText w:val="%6."/>
      <w:lvlJc w:val="right"/>
      <w:pPr>
        <w:ind w:left="3990" w:hanging="180"/>
      </w:pPr>
    </w:lvl>
    <w:lvl w:ilvl="6" w:tplc="0816000F" w:tentative="1">
      <w:start w:val="1"/>
      <w:numFmt w:val="decimal"/>
      <w:lvlText w:val="%7."/>
      <w:lvlJc w:val="left"/>
      <w:pPr>
        <w:ind w:left="4710" w:hanging="360"/>
      </w:pPr>
    </w:lvl>
    <w:lvl w:ilvl="7" w:tplc="08160019" w:tentative="1">
      <w:start w:val="1"/>
      <w:numFmt w:val="lowerLetter"/>
      <w:lvlText w:val="%8."/>
      <w:lvlJc w:val="left"/>
      <w:pPr>
        <w:ind w:left="5430" w:hanging="360"/>
      </w:pPr>
    </w:lvl>
    <w:lvl w:ilvl="8" w:tplc="0816001B" w:tentative="1">
      <w:start w:val="1"/>
      <w:numFmt w:val="lowerRoman"/>
      <w:lvlText w:val="%9."/>
      <w:lvlJc w:val="right"/>
      <w:pPr>
        <w:ind w:left="6150" w:hanging="180"/>
      </w:pPr>
    </w:lvl>
  </w:abstractNum>
  <w:abstractNum w:abstractNumId="12">
    <w:nsid w:val="23022A34"/>
    <w:multiLevelType w:val="hybridMultilevel"/>
    <w:tmpl w:val="7108B756"/>
    <w:lvl w:ilvl="0" w:tplc="08160001">
      <w:start w:val="1"/>
      <w:numFmt w:val="bullet"/>
      <w:lvlText w:val=""/>
      <w:lvlJc w:val="left"/>
      <w:pPr>
        <w:ind w:left="737" w:hanging="360"/>
      </w:pPr>
      <w:rPr>
        <w:rFonts w:ascii="Symbol" w:hAnsi="Symbol" w:hint="default"/>
      </w:rPr>
    </w:lvl>
    <w:lvl w:ilvl="1" w:tplc="08160003" w:tentative="1">
      <w:start w:val="1"/>
      <w:numFmt w:val="bullet"/>
      <w:lvlText w:val="o"/>
      <w:lvlJc w:val="left"/>
      <w:pPr>
        <w:ind w:left="1457" w:hanging="360"/>
      </w:pPr>
      <w:rPr>
        <w:rFonts w:ascii="Courier New" w:hAnsi="Courier New" w:cs="Courier New" w:hint="default"/>
      </w:rPr>
    </w:lvl>
    <w:lvl w:ilvl="2" w:tplc="08160005" w:tentative="1">
      <w:start w:val="1"/>
      <w:numFmt w:val="bullet"/>
      <w:lvlText w:val=""/>
      <w:lvlJc w:val="left"/>
      <w:pPr>
        <w:ind w:left="2177" w:hanging="360"/>
      </w:pPr>
      <w:rPr>
        <w:rFonts w:ascii="Wingdings" w:hAnsi="Wingdings" w:hint="default"/>
      </w:rPr>
    </w:lvl>
    <w:lvl w:ilvl="3" w:tplc="08160001" w:tentative="1">
      <w:start w:val="1"/>
      <w:numFmt w:val="bullet"/>
      <w:lvlText w:val=""/>
      <w:lvlJc w:val="left"/>
      <w:pPr>
        <w:ind w:left="2897" w:hanging="360"/>
      </w:pPr>
      <w:rPr>
        <w:rFonts w:ascii="Symbol" w:hAnsi="Symbol" w:hint="default"/>
      </w:rPr>
    </w:lvl>
    <w:lvl w:ilvl="4" w:tplc="08160003" w:tentative="1">
      <w:start w:val="1"/>
      <w:numFmt w:val="bullet"/>
      <w:lvlText w:val="o"/>
      <w:lvlJc w:val="left"/>
      <w:pPr>
        <w:ind w:left="3617" w:hanging="360"/>
      </w:pPr>
      <w:rPr>
        <w:rFonts w:ascii="Courier New" w:hAnsi="Courier New" w:cs="Courier New" w:hint="default"/>
      </w:rPr>
    </w:lvl>
    <w:lvl w:ilvl="5" w:tplc="08160005" w:tentative="1">
      <w:start w:val="1"/>
      <w:numFmt w:val="bullet"/>
      <w:lvlText w:val=""/>
      <w:lvlJc w:val="left"/>
      <w:pPr>
        <w:ind w:left="4337" w:hanging="360"/>
      </w:pPr>
      <w:rPr>
        <w:rFonts w:ascii="Wingdings" w:hAnsi="Wingdings" w:hint="default"/>
      </w:rPr>
    </w:lvl>
    <w:lvl w:ilvl="6" w:tplc="08160001" w:tentative="1">
      <w:start w:val="1"/>
      <w:numFmt w:val="bullet"/>
      <w:lvlText w:val=""/>
      <w:lvlJc w:val="left"/>
      <w:pPr>
        <w:ind w:left="5057" w:hanging="360"/>
      </w:pPr>
      <w:rPr>
        <w:rFonts w:ascii="Symbol" w:hAnsi="Symbol" w:hint="default"/>
      </w:rPr>
    </w:lvl>
    <w:lvl w:ilvl="7" w:tplc="08160003" w:tentative="1">
      <w:start w:val="1"/>
      <w:numFmt w:val="bullet"/>
      <w:lvlText w:val="o"/>
      <w:lvlJc w:val="left"/>
      <w:pPr>
        <w:ind w:left="5777" w:hanging="360"/>
      </w:pPr>
      <w:rPr>
        <w:rFonts w:ascii="Courier New" w:hAnsi="Courier New" w:cs="Courier New" w:hint="default"/>
      </w:rPr>
    </w:lvl>
    <w:lvl w:ilvl="8" w:tplc="08160005" w:tentative="1">
      <w:start w:val="1"/>
      <w:numFmt w:val="bullet"/>
      <w:lvlText w:val=""/>
      <w:lvlJc w:val="left"/>
      <w:pPr>
        <w:ind w:left="6497" w:hanging="360"/>
      </w:pPr>
      <w:rPr>
        <w:rFonts w:ascii="Wingdings" w:hAnsi="Wingdings" w:hint="default"/>
      </w:rPr>
    </w:lvl>
  </w:abstractNum>
  <w:abstractNum w:abstractNumId="13">
    <w:nsid w:val="26327763"/>
    <w:multiLevelType w:val="hybridMultilevel"/>
    <w:tmpl w:val="D17C41C2"/>
    <w:lvl w:ilvl="0" w:tplc="783E66C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28C707AA"/>
    <w:multiLevelType w:val="hybridMultilevel"/>
    <w:tmpl w:val="4768BEB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2962418C"/>
    <w:multiLevelType w:val="hybridMultilevel"/>
    <w:tmpl w:val="24B482C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nsid w:val="2A5B1EF8"/>
    <w:multiLevelType w:val="hybridMultilevel"/>
    <w:tmpl w:val="6108CECC"/>
    <w:lvl w:ilvl="0" w:tplc="B8AC0F8A">
      <w:start w:val="1"/>
      <w:numFmt w:val="decimal"/>
      <w:lvlText w:val="%1-"/>
      <w:lvlJc w:val="left"/>
      <w:pPr>
        <w:ind w:left="720" w:hanging="360"/>
      </w:pPr>
      <w:rPr>
        <w:rFonts w:ascii="Calibri" w:hAnsi="Calibri" w:cs="MNPDDJ+TimesNewRoman" w:hint="default"/>
        <w:b w:val="0"/>
        <w:color w:val="00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2C127CF3"/>
    <w:multiLevelType w:val="hybridMultilevel"/>
    <w:tmpl w:val="96DE614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nsid w:val="2E6473C0"/>
    <w:multiLevelType w:val="hybridMultilevel"/>
    <w:tmpl w:val="FAD4211E"/>
    <w:lvl w:ilvl="0" w:tplc="45AC23C0">
      <w:start w:val="1"/>
      <w:numFmt w:val="lowerRoman"/>
      <w:lvlText w:val="%1-"/>
      <w:lvlJc w:val="left"/>
      <w:pPr>
        <w:ind w:left="1429" w:hanging="72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19">
    <w:nsid w:val="3094583A"/>
    <w:multiLevelType w:val="hybridMultilevel"/>
    <w:tmpl w:val="630E69A6"/>
    <w:lvl w:ilvl="0" w:tplc="A5D2F568">
      <w:start w:val="1"/>
      <w:numFmt w:val="decimal"/>
      <w:pStyle w:val="StyleHeading1Centered"/>
      <w:lvlText w:val="%1."/>
      <w:lvlJc w:val="left"/>
      <w:pPr>
        <w:tabs>
          <w:tab w:val="num" w:pos="1077"/>
        </w:tabs>
        <w:ind w:left="1077" w:hanging="360"/>
      </w:pPr>
    </w:lvl>
    <w:lvl w:ilvl="1" w:tplc="08160019">
      <w:start w:val="1"/>
      <w:numFmt w:val="lowerLetter"/>
      <w:lvlText w:val="%2."/>
      <w:lvlJc w:val="left"/>
      <w:pPr>
        <w:tabs>
          <w:tab w:val="num" w:pos="1797"/>
        </w:tabs>
        <w:ind w:left="1797" w:hanging="360"/>
      </w:pPr>
    </w:lvl>
    <w:lvl w:ilvl="2" w:tplc="0816001B" w:tentative="1">
      <w:start w:val="1"/>
      <w:numFmt w:val="lowerRoman"/>
      <w:lvlText w:val="%3."/>
      <w:lvlJc w:val="right"/>
      <w:pPr>
        <w:tabs>
          <w:tab w:val="num" w:pos="2517"/>
        </w:tabs>
        <w:ind w:left="2517" w:hanging="180"/>
      </w:pPr>
    </w:lvl>
    <w:lvl w:ilvl="3" w:tplc="0816000F" w:tentative="1">
      <w:start w:val="1"/>
      <w:numFmt w:val="decimal"/>
      <w:lvlText w:val="%4."/>
      <w:lvlJc w:val="left"/>
      <w:pPr>
        <w:tabs>
          <w:tab w:val="num" w:pos="3237"/>
        </w:tabs>
        <w:ind w:left="3237" w:hanging="360"/>
      </w:pPr>
    </w:lvl>
    <w:lvl w:ilvl="4" w:tplc="08160019" w:tentative="1">
      <w:start w:val="1"/>
      <w:numFmt w:val="lowerLetter"/>
      <w:lvlText w:val="%5."/>
      <w:lvlJc w:val="left"/>
      <w:pPr>
        <w:tabs>
          <w:tab w:val="num" w:pos="3957"/>
        </w:tabs>
        <w:ind w:left="3957" w:hanging="360"/>
      </w:pPr>
    </w:lvl>
    <w:lvl w:ilvl="5" w:tplc="0816001B" w:tentative="1">
      <w:start w:val="1"/>
      <w:numFmt w:val="lowerRoman"/>
      <w:lvlText w:val="%6."/>
      <w:lvlJc w:val="right"/>
      <w:pPr>
        <w:tabs>
          <w:tab w:val="num" w:pos="4677"/>
        </w:tabs>
        <w:ind w:left="4677" w:hanging="180"/>
      </w:pPr>
    </w:lvl>
    <w:lvl w:ilvl="6" w:tplc="0816000F" w:tentative="1">
      <w:start w:val="1"/>
      <w:numFmt w:val="decimal"/>
      <w:lvlText w:val="%7."/>
      <w:lvlJc w:val="left"/>
      <w:pPr>
        <w:tabs>
          <w:tab w:val="num" w:pos="5397"/>
        </w:tabs>
        <w:ind w:left="5397" w:hanging="360"/>
      </w:pPr>
    </w:lvl>
    <w:lvl w:ilvl="7" w:tplc="08160019" w:tentative="1">
      <w:start w:val="1"/>
      <w:numFmt w:val="lowerLetter"/>
      <w:lvlText w:val="%8."/>
      <w:lvlJc w:val="left"/>
      <w:pPr>
        <w:tabs>
          <w:tab w:val="num" w:pos="6117"/>
        </w:tabs>
        <w:ind w:left="6117" w:hanging="360"/>
      </w:pPr>
    </w:lvl>
    <w:lvl w:ilvl="8" w:tplc="0816001B" w:tentative="1">
      <w:start w:val="1"/>
      <w:numFmt w:val="lowerRoman"/>
      <w:lvlText w:val="%9."/>
      <w:lvlJc w:val="right"/>
      <w:pPr>
        <w:tabs>
          <w:tab w:val="num" w:pos="6837"/>
        </w:tabs>
        <w:ind w:left="6837" w:hanging="180"/>
      </w:pPr>
    </w:lvl>
  </w:abstractNum>
  <w:abstractNum w:abstractNumId="20">
    <w:nsid w:val="31A078A5"/>
    <w:multiLevelType w:val="hybridMultilevel"/>
    <w:tmpl w:val="557CF0CC"/>
    <w:lvl w:ilvl="0" w:tplc="08160001">
      <w:start w:val="1"/>
      <w:numFmt w:val="bullet"/>
      <w:lvlText w:val=""/>
      <w:lvlJc w:val="left"/>
      <w:pPr>
        <w:ind w:left="644"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nsid w:val="35D5650D"/>
    <w:multiLevelType w:val="hybridMultilevel"/>
    <w:tmpl w:val="FDFEB5B0"/>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2">
    <w:nsid w:val="3D4B1CFC"/>
    <w:multiLevelType w:val="hybridMultilevel"/>
    <w:tmpl w:val="540CD00C"/>
    <w:lvl w:ilvl="0" w:tplc="D3587484">
      <w:start w:val="1"/>
      <w:numFmt w:val="lowerLetter"/>
      <w:lvlText w:val="%1)"/>
      <w:lvlJc w:val="left"/>
      <w:pPr>
        <w:ind w:left="720" w:hanging="360"/>
      </w:pPr>
      <w:rPr>
        <w:rFonts w:hint="default"/>
        <w:color w:val="000000"/>
      </w:rPr>
    </w:lvl>
    <w:lvl w:ilvl="1" w:tplc="08160019" w:tentative="1">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nsid w:val="4517335F"/>
    <w:multiLevelType w:val="hybridMultilevel"/>
    <w:tmpl w:val="01E886A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nsid w:val="46CE0B37"/>
    <w:multiLevelType w:val="hybridMultilevel"/>
    <w:tmpl w:val="02303D7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nsid w:val="4BC74A1A"/>
    <w:multiLevelType w:val="hybridMultilevel"/>
    <w:tmpl w:val="1022400E"/>
    <w:lvl w:ilvl="0" w:tplc="4DD0864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nsid w:val="52944583"/>
    <w:multiLevelType w:val="hybridMultilevel"/>
    <w:tmpl w:val="1022400E"/>
    <w:lvl w:ilvl="0" w:tplc="4DD08642">
      <w:start w:val="1"/>
      <w:numFmt w:val="decimal"/>
      <w:lvlText w:val="%1-"/>
      <w:lvlJc w:val="left"/>
      <w:pPr>
        <w:ind w:left="502"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nsid w:val="568C7815"/>
    <w:multiLevelType w:val="hybridMultilevel"/>
    <w:tmpl w:val="0868F24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nsid w:val="5A680C91"/>
    <w:multiLevelType w:val="hybridMultilevel"/>
    <w:tmpl w:val="737E292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nsid w:val="5B33065A"/>
    <w:multiLevelType w:val="hybridMultilevel"/>
    <w:tmpl w:val="A566B4B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nsid w:val="5B853599"/>
    <w:multiLevelType w:val="hybridMultilevel"/>
    <w:tmpl w:val="F8FC6CC6"/>
    <w:lvl w:ilvl="0" w:tplc="FFFFFFFF">
      <w:start w:val="1"/>
      <w:numFmt w:val="bullet"/>
      <w:lvlText w:val=""/>
      <w:lvlJc w:val="left"/>
      <w:pPr>
        <w:ind w:left="1485" w:hanging="360"/>
      </w:pPr>
      <w:rPr>
        <w:rFonts w:ascii="Symbol" w:hAnsi="Symbol" w:hint="default"/>
      </w:rPr>
    </w:lvl>
    <w:lvl w:ilvl="1" w:tplc="FFFFFFFF" w:tentative="1">
      <w:start w:val="1"/>
      <w:numFmt w:val="bullet"/>
      <w:lvlText w:val="o"/>
      <w:lvlJc w:val="left"/>
      <w:pPr>
        <w:ind w:left="2205" w:hanging="360"/>
      </w:pPr>
      <w:rPr>
        <w:rFonts w:ascii="Courier New" w:hAnsi="Courier New" w:cs="Courier New" w:hint="default"/>
      </w:rPr>
    </w:lvl>
    <w:lvl w:ilvl="2" w:tplc="FFFFFFFF" w:tentative="1">
      <w:start w:val="1"/>
      <w:numFmt w:val="bullet"/>
      <w:lvlText w:val=""/>
      <w:lvlJc w:val="left"/>
      <w:pPr>
        <w:ind w:left="2925" w:hanging="360"/>
      </w:pPr>
      <w:rPr>
        <w:rFonts w:ascii="Wingdings" w:hAnsi="Wingdings" w:hint="default"/>
      </w:rPr>
    </w:lvl>
    <w:lvl w:ilvl="3" w:tplc="FFFFFFFF" w:tentative="1">
      <w:start w:val="1"/>
      <w:numFmt w:val="bullet"/>
      <w:lvlText w:val=""/>
      <w:lvlJc w:val="left"/>
      <w:pPr>
        <w:ind w:left="3645" w:hanging="360"/>
      </w:pPr>
      <w:rPr>
        <w:rFonts w:ascii="Symbol" w:hAnsi="Symbol" w:hint="default"/>
      </w:rPr>
    </w:lvl>
    <w:lvl w:ilvl="4" w:tplc="FFFFFFFF" w:tentative="1">
      <w:start w:val="1"/>
      <w:numFmt w:val="bullet"/>
      <w:lvlText w:val="o"/>
      <w:lvlJc w:val="left"/>
      <w:pPr>
        <w:ind w:left="4365" w:hanging="360"/>
      </w:pPr>
      <w:rPr>
        <w:rFonts w:ascii="Courier New" w:hAnsi="Courier New" w:cs="Courier New" w:hint="default"/>
      </w:rPr>
    </w:lvl>
    <w:lvl w:ilvl="5" w:tplc="FFFFFFFF" w:tentative="1">
      <w:start w:val="1"/>
      <w:numFmt w:val="bullet"/>
      <w:lvlText w:val=""/>
      <w:lvlJc w:val="left"/>
      <w:pPr>
        <w:ind w:left="5085" w:hanging="360"/>
      </w:pPr>
      <w:rPr>
        <w:rFonts w:ascii="Wingdings" w:hAnsi="Wingdings" w:hint="default"/>
      </w:rPr>
    </w:lvl>
    <w:lvl w:ilvl="6" w:tplc="FFFFFFFF" w:tentative="1">
      <w:start w:val="1"/>
      <w:numFmt w:val="bullet"/>
      <w:lvlText w:val=""/>
      <w:lvlJc w:val="left"/>
      <w:pPr>
        <w:ind w:left="5805" w:hanging="360"/>
      </w:pPr>
      <w:rPr>
        <w:rFonts w:ascii="Symbol" w:hAnsi="Symbol" w:hint="default"/>
      </w:rPr>
    </w:lvl>
    <w:lvl w:ilvl="7" w:tplc="FFFFFFFF" w:tentative="1">
      <w:start w:val="1"/>
      <w:numFmt w:val="bullet"/>
      <w:lvlText w:val="o"/>
      <w:lvlJc w:val="left"/>
      <w:pPr>
        <w:ind w:left="6525" w:hanging="360"/>
      </w:pPr>
      <w:rPr>
        <w:rFonts w:ascii="Courier New" w:hAnsi="Courier New" w:cs="Courier New" w:hint="default"/>
      </w:rPr>
    </w:lvl>
    <w:lvl w:ilvl="8" w:tplc="FFFFFFFF" w:tentative="1">
      <w:start w:val="1"/>
      <w:numFmt w:val="bullet"/>
      <w:lvlText w:val=""/>
      <w:lvlJc w:val="left"/>
      <w:pPr>
        <w:ind w:left="7245" w:hanging="360"/>
      </w:pPr>
      <w:rPr>
        <w:rFonts w:ascii="Wingdings" w:hAnsi="Wingdings" w:hint="default"/>
      </w:rPr>
    </w:lvl>
  </w:abstractNum>
  <w:abstractNum w:abstractNumId="31">
    <w:nsid w:val="66CE42F8"/>
    <w:multiLevelType w:val="hybridMultilevel"/>
    <w:tmpl w:val="1022400E"/>
    <w:lvl w:ilvl="0" w:tplc="4DD0864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nsid w:val="684F6E5C"/>
    <w:multiLevelType w:val="hybridMultilevel"/>
    <w:tmpl w:val="B136DB52"/>
    <w:lvl w:ilvl="0" w:tplc="58A40A72">
      <w:start w:val="1"/>
      <w:numFmt w:val="decimal"/>
      <w:lvlText w:val="%1-"/>
      <w:lvlJc w:val="left"/>
      <w:pPr>
        <w:ind w:left="360" w:hanging="360"/>
      </w:pPr>
      <w:rPr>
        <w:rFonts w:asciiTheme="minorHAnsi" w:hAnsiTheme="minorHAnsi" w:cs="Calibri" w:hint="default"/>
        <w:b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3">
    <w:nsid w:val="787166DA"/>
    <w:multiLevelType w:val="hybridMultilevel"/>
    <w:tmpl w:val="08F88F0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nsid w:val="78D00B7B"/>
    <w:multiLevelType w:val="hybridMultilevel"/>
    <w:tmpl w:val="EE50FAF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5">
    <w:nsid w:val="79BA16F1"/>
    <w:multiLevelType w:val="hybridMultilevel"/>
    <w:tmpl w:val="AB069826"/>
    <w:lvl w:ilvl="0" w:tplc="2446FD8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nsid w:val="7D696F5F"/>
    <w:multiLevelType w:val="hybridMultilevel"/>
    <w:tmpl w:val="43F0C252"/>
    <w:lvl w:ilvl="0" w:tplc="945AD32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9"/>
  </w:num>
  <w:num w:numId="2">
    <w:abstractNumId w:val="15"/>
  </w:num>
  <w:num w:numId="3">
    <w:abstractNumId w:val="12"/>
  </w:num>
  <w:num w:numId="4">
    <w:abstractNumId w:val="4"/>
  </w:num>
  <w:num w:numId="5">
    <w:abstractNumId w:val="22"/>
  </w:num>
  <w:num w:numId="6">
    <w:abstractNumId w:val="24"/>
  </w:num>
  <w:num w:numId="7">
    <w:abstractNumId w:val="16"/>
  </w:num>
  <w:num w:numId="8">
    <w:abstractNumId w:val="5"/>
  </w:num>
  <w:num w:numId="9">
    <w:abstractNumId w:val="7"/>
  </w:num>
  <w:num w:numId="10">
    <w:abstractNumId w:val="29"/>
  </w:num>
  <w:num w:numId="11">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32"/>
  </w:num>
  <w:num w:numId="14">
    <w:abstractNumId w:val="8"/>
  </w:num>
  <w:num w:numId="15">
    <w:abstractNumId w:val="23"/>
  </w:num>
  <w:num w:numId="16">
    <w:abstractNumId w:val="26"/>
  </w:num>
  <w:num w:numId="17">
    <w:abstractNumId w:val="6"/>
  </w:num>
  <w:num w:numId="18">
    <w:abstractNumId w:val="28"/>
  </w:num>
  <w:num w:numId="19">
    <w:abstractNumId w:val="31"/>
  </w:num>
  <w:num w:numId="20">
    <w:abstractNumId w:val="25"/>
  </w:num>
  <w:num w:numId="21">
    <w:abstractNumId w:val="0"/>
  </w:num>
  <w:num w:numId="22">
    <w:abstractNumId w:val="18"/>
  </w:num>
  <w:num w:numId="23">
    <w:abstractNumId w:val="20"/>
  </w:num>
  <w:num w:numId="24">
    <w:abstractNumId w:val="13"/>
  </w:num>
  <w:num w:numId="25">
    <w:abstractNumId w:val="3"/>
  </w:num>
  <w:num w:numId="26">
    <w:abstractNumId w:val="34"/>
  </w:num>
  <w:num w:numId="27">
    <w:abstractNumId w:val="1"/>
  </w:num>
  <w:num w:numId="28">
    <w:abstractNumId w:val="14"/>
  </w:num>
  <w:num w:numId="29">
    <w:abstractNumId w:val="33"/>
  </w:num>
  <w:num w:numId="30">
    <w:abstractNumId w:val="21"/>
  </w:num>
  <w:num w:numId="31">
    <w:abstractNumId w:val="27"/>
  </w:num>
  <w:num w:numId="32">
    <w:abstractNumId w:val="35"/>
  </w:num>
  <w:num w:numId="33">
    <w:abstractNumId w:val="30"/>
  </w:num>
  <w:num w:numId="34">
    <w:abstractNumId w:val="2"/>
  </w:num>
  <w:num w:numId="35">
    <w:abstractNumId w:val="11"/>
  </w:num>
  <w:num w:numId="36">
    <w:abstractNumId w:val="36"/>
  </w:num>
  <w:num w:numId="37">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26978"/>
  </w:hdrShapeDefaults>
  <w:footnotePr>
    <w:footnote w:id="-1"/>
    <w:footnote w:id="0"/>
  </w:footnotePr>
  <w:endnotePr>
    <w:endnote w:id="-1"/>
    <w:endnote w:id="0"/>
  </w:endnotePr>
  <w:compat/>
  <w:rsids>
    <w:rsidRoot w:val="00273777"/>
    <w:rsid w:val="000012F2"/>
    <w:rsid w:val="00001876"/>
    <w:rsid w:val="00003D45"/>
    <w:rsid w:val="000066E0"/>
    <w:rsid w:val="000132F0"/>
    <w:rsid w:val="00014F46"/>
    <w:rsid w:val="0001526A"/>
    <w:rsid w:val="0001570F"/>
    <w:rsid w:val="00016268"/>
    <w:rsid w:val="0002159D"/>
    <w:rsid w:val="0003227F"/>
    <w:rsid w:val="00034FA5"/>
    <w:rsid w:val="00035E4F"/>
    <w:rsid w:val="0003669D"/>
    <w:rsid w:val="00051724"/>
    <w:rsid w:val="00054C42"/>
    <w:rsid w:val="00057E07"/>
    <w:rsid w:val="00062EF1"/>
    <w:rsid w:val="00066F06"/>
    <w:rsid w:val="00067CC0"/>
    <w:rsid w:val="00081048"/>
    <w:rsid w:val="000836B7"/>
    <w:rsid w:val="0008388D"/>
    <w:rsid w:val="00087F5D"/>
    <w:rsid w:val="0009444B"/>
    <w:rsid w:val="0009462B"/>
    <w:rsid w:val="00095AB6"/>
    <w:rsid w:val="00095DB0"/>
    <w:rsid w:val="000971DF"/>
    <w:rsid w:val="00097E9B"/>
    <w:rsid w:val="000A4315"/>
    <w:rsid w:val="000A5170"/>
    <w:rsid w:val="000A77A1"/>
    <w:rsid w:val="000B24BD"/>
    <w:rsid w:val="000B65F0"/>
    <w:rsid w:val="000D152C"/>
    <w:rsid w:val="000D36F0"/>
    <w:rsid w:val="000D4B12"/>
    <w:rsid w:val="000D7F06"/>
    <w:rsid w:val="000E1895"/>
    <w:rsid w:val="0010580D"/>
    <w:rsid w:val="00106139"/>
    <w:rsid w:val="00106F57"/>
    <w:rsid w:val="00112762"/>
    <w:rsid w:val="00113060"/>
    <w:rsid w:val="00122558"/>
    <w:rsid w:val="0013296E"/>
    <w:rsid w:val="00134842"/>
    <w:rsid w:val="001405A0"/>
    <w:rsid w:val="00143A44"/>
    <w:rsid w:val="00143FF1"/>
    <w:rsid w:val="001464FB"/>
    <w:rsid w:val="001501CC"/>
    <w:rsid w:val="00154BF4"/>
    <w:rsid w:val="00155D9A"/>
    <w:rsid w:val="001561C8"/>
    <w:rsid w:val="00156894"/>
    <w:rsid w:val="00167FC5"/>
    <w:rsid w:val="001735B7"/>
    <w:rsid w:val="00175F0E"/>
    <w:rsid w:val="00176F59"/>
    <w:rsid w:val="001827FB"/>
    <w:rsid w:val="00187971"/>
    <w:rsid w:val="00190BFE"/>
    <w:rsid w:val="00191C6C"/>
    <w:rsid w:val="00195901"/>
    <w:rsid w:val="001A5DC3"/>
    <w:rsid w:val="001A7CD9"/>
    <w:rsid w:val="001B0067"/>
    <w:rsid w:val="001C3108"/>
    <w:rsid w:val="001D03DB"/>
    <w:rsid w:val="001D1220"/>
    <w:rsid w:val="001D62DF"/>
    <w:rsid w:val="001D7922"/>
    <w:rsid w:val="001E6B4F"/>
    <w:rsid w:val="001F1BE7"/>
    <w:rsid w:val="001F4ACA"/>
    <w:rsid w:val="001F55C4"/>
    <w:rsid w:val="001F6B42"/>
    <w:rsid w:val="0020518A"/>
    <w:rsid w:val="002055E3"/>
    <w:rsid w:val="0020577B"/>
    <w:rsid w:val="00216BD5"/>
    <w:rsid w:val="00220DC1"/>
    <w:rsid w:val="00222B41"/>
    <w:rsid w:val="0022432F"/>
    <w:rsid w:val="00224A12"/>
    <w:rsid w:val="00233EDF"/>
    <w:rsid w:val="00262638"/>
    <w:rsid w:val="00264320"/>
    <w:rsid w:val="002675E7"/>
    <w:rsid w:val="00273777"/>
    <w:rsid w:val="00275058"/>
    <w:rsid w:val="002760D3"/>
    <w:rsid w:val="00281D4D"/>
    <w:rsid w:val="00294097"/>
    <w:rsid w:val="002A2CEB"/>
    <w:rsid w:val="002A3DFE"/>
    <w:rsid w:val="002B0ADB"/>
    <w:rsid w:val="002C3723"/>
    <w:rsid w:val="002C713E"/>
    <w:rsid w:val="002D4E9E"/>
    <w:rsid w:val="002E159B"/>
    <w:rsid w:val="002E1B07"/>
    <w:rsid w:val="002E1FF3"/>
    <w:rsid w:val="002E2C1E"/>
    <w:rsid w:val="002E2EA8"/>
    <w:rsid w:val="002E3EA1"/>
    <w:rsid w:val="002E7507"/>
    <w:rsid w:val="002F5768"/>
    <w:rsid w:val="002F5C88"/>
    <w:rsid w:val="00301F63"/>
    <w:rsid w:val="0030654F"/>
    <w:rsid w:val="00307D6E"/>
    <w:rsid w:val="00311684"/>
    <w:rsid w:val="00311691"/>
    <w:rsid w:val="0031172B"/>
    <w:rsid w:val="00315C22"/>
    <w:rsid w:val="0032070B"/>
    <w:rsid w:val="00323B75"/>
    <w:rsid w:val="0032723A"/>
    <w:rsid w:val="0033723D"/>
    <w:rsid w:val="003378AD"/>
    <w:rsid w:val="00341976"/>
    <w:rsid w:val="0034404C"/>
    <w:rsid w:val="00344DED"/>
    <w:rsid w:val="003476D8"/>
    <w:rsid w:val="003477E8"/>
    <w:rsid w:val="003528AC"/>
    <w:rsid w:val="00355B67"/>
    <w:rsid w:val="00356382"/>
    <w:rsid w:val="00362D7C"/>
    <w:rsid w:val="00364BF8"/>
    <w:rsid w:val="00386D01"/>
    <w:rsid w:val="00394872"/>
    <w:rsid w:val="00397AD0"/>
    <w:rsid w:val="003A42BC"/>
    <w:rsid w:val="003A75AD"/>
    <w:rsid w:val="003B4E34"/>
    <w:rsid w:val="003C2E70"/>
    <w:rsid w:val="003C59F3"/>
    <w:rsid w:val="003C5AF2"/>
    <w:rsid w:val="003D2AA2"/>
    <w:rsid w:val="003D5978"/>
    <w:rsid w:val="003D7384"/>
    <w:rsid w:val="003D77CD"/>
    <w:rsid w:val="003E087A"/>
    <w:rsid w:val="003E45AF"/>
    <w:rsid w:val="003E505A"/>
    <w:rsid w:val="003E5F52"/>
    <w:rsid w:val="003E7F3B"/>
    <w:rsid w:val="003F6502"/>
    <w:rsid w:val="003F6A86"/>
    <w:rsid w:val="003F7DEF"/>
    <w:rsid w:val="004011E4"/>
    <w:rsid w:val="00401F75"/>
    <w:rsid w:val="004021FE"/>
    <w:rsid w:val="004051FF"/>
    <w:rsid w:val="0040789B"/>
    <w:rsid w:val="00420497"/>
    <w:rsid w:val="004226E5"/>
    <w:rsid w:val="0042690B"/>
    <w:rsid w:val="00430C68"/>
    <w:rsid w:val="00445028"/>
    <w:rsid w:val="0044732A"/>
    <w:rsid w:val="00464679"/>
    <w:rsid w:val="00465E82"/>
    <w:rsid w:val="004667F4"/>
    <w:rsid w:val="00471C5C"/>
    <w:rsid w:val="0047527D"/>
    <w:rsid w:val="004752A3"/>
    <w:rsid w:val="00477689"/>
    <w:rsid w:val="00490AAB"/>
    <w:rsid w:val="004934A5"/>
    <w:rsid w:val="004953C5"/>
    <w:rsid w:val="004A74DB"/>
    <w:rsid w:val="004B17E1"/>
    <w:rsid w:val="004B1E61"/>
    <w:rsid w:val="004B303F"/>
    <w:rsid w:val="004B695D"/>
    <w:rsid w:val="004C079D"/>
    <w:rsid w:val="004C33B3"/>
    <w:rsid w:val="004C4470"/>
    <w:rsid w:val="004D0E33"/>
    <w:rsid w:val="004D71C5"/>
    <w:rsid w:val="004E08F6"/>
    <w:rsid w:val="004E5798"/>
    <w:rsid w:val="004E7FC2"/>
    <w:rsid w:val="004F06CE"/>
    <w:rsid w:val="004F6AE8"/>
    <w:rsid w:val="004F6C01"/>
    <w:rsid w:val="0050316F"/>
    <w:rsid w:val="00516CE1"/>
    <w:rsid w:val="00521A5F"/>
    <w:rsid w:val="00522712"/>
    <w:rsid w:val="00527597"/>
    <w:rsid w:val="00534FC5"/>
    <w:rsid w:val="00536C8E"/>
    <w:rsid w:val="0053704C"/>
    <w:rsid w:val="00541ACA"/>
    <w:rsid w:val="0054248A"/>
    <w:rsid w:val="0054312F"/>
    <w:rsid w:val="005452CB"/>
    <w:rsid w:val="00545CDD"/>
    <w:rsid w:val="005507ED"/>
    <w:rsid w:val="00554676"/>
    <w:rsid w:val="005552E2"/>
    <w:rsid w:val="00577B93"/>
    <w:rsid w:val="0058298C"/>
    <w:rsid w:val="00597708"/>
    <w:rsid w:val="005A2E35"/>
    <w:rsid w:val="005A6A77"/>
    <w:rsid w:val="005B0011"/>
    <w:rsid w:val="005B3881"/>
    <w:rsid w:val="005B6D74"/>
    <w:rsid w:val="005B71BC"/>
    <w:rsid w:val="005C3662"/>
    <w:rsid w:val="005D2288"/>
    <w:rsid w:val="005D4335"/>
    <w:rsid w:val="005E7DBA"/>
    <w:rsid w:val="005F5012"/>
    <w:rsid w:val="005F6E61"/>
    <w:rsid w:val="0060229E"/>
    <w:rsid w:val="006040C2"/>
    <w:rsid w:val="00604734"/>
    <w:rsid w:val="00612349"/>
    <w:rsid w:val="0061410F"/>
    <w:rsid w:val="00614630"/>
    <w:rsid w:val="00615BC8"/>
    <w:rsid w:val="0062300F"/>
    <w:rsid w:val="0062777C"/>
    <w:rsid w:val="00630093"/>
    <w:rsid w:val="006333D0"/>
    <w:rsid w:val="00640D34"/>
    <w:rsid w:val="006452ED"/>
    <w:rsid w:val="00654FD9"/>
    <w:rsid w:val="00660C05"/>
    <w:rsid w:val="00671FCC"/>
    <w:rsid w:val="00690C0A"/>
    <w:rsid w:val="00693C48"/>
    <w:rsid w:val="00694372"/>
    <w:rsid w:val="006C00CA"/>
    <w:rsid w:val="006C0CDA"/>
    <w:rsid w:val="006C134E"/>
    <w:rsid w:val="006C5FC5"/>
    <w:rsid w:val="006E03F9"/>
    <w:rsid w:val="006E0EAD"/>
    <w:rsid w:val="006E243A"/>
    <w:rsid w:val="006E39EA"/>
    <w:rsid w:val="006E588F"/>
    <w:rsid w:val="006E58F2"/>
    <w:rsid w:val="006E7F37"/>
    <w:rsid w:val="006F2BBC"/>
    <w:rsid w:val="006F5C9A"/>
    <w:rsid w:val="00701E00"/>
    <w:rsid w:val="00720603"/>
    <w:rsid w:val="0072205A"/>
    <w:rsid w:val="007224E1"/>
    <w:rsid w:val="00723AEA"/>
    <w:rsid w:val="00730430"/>
    <w:rsid w:val="007407AA"/>
    <w:rsid w:val="0074154F"/>
    <w:rsid w:val="007508D3"/>
    <w:rsid w:val="00752B68"/>
    <w:rsid w:val="00754598"/>
    <w:rsid w:val="00756032"/>
    <w:rsid w:val="007576E7"/>
    <w:rsid w:val="00757899"/>
    <w:rsid w:val="007656DE"/>
    <w:rsid w:val="00767308"/>
    <w:rsid w:val="00772E9A"/>
    <w:rsid w:val="00785ED6"/>
    <w:rsid w:val="0078756F"/>
    <w:rsid w:val="00791FB2"/>
    <w:rsid w:val="007957E8"/>
    <w:rsid w:val="007A07DF"/>
    <w:rsid w:val="007A323D"/>
    <w:rsid w:val="007A56F0"/>
    <w:rsid w:val="007A5FD4"/>
    <w:rsid w:val="007A61B0"/>
    <w:rsid w:val="007B087C"/>
    <w:rsid w:val="007B0EF8"/>
    <w:rsid w:val="007B35C5"/>
    <w:rsid w:val="007B7EDA"/>
    <w:rsid w:val="007C3A72"/>
    <w:rsid w:val="007C3EA3"/>
    <w:rsid w:val="007C4D00"/>
    <w:rsid w:val="007D02FC"/>
    <w:rsid w:val="007D07B9"/>
    <w:rsid w:val="007D7EED"/>
    <w:rsid w:val="007E1474"/>
    <w:rsid w:val="007E3946"/>
    <w:rsid w:val="007F052B"/>
    <w:rsid w:val="007F0638"/>
    <w:rsid w:val="00802443"/>
    <w:rsid w:val="0080562E"/>
    <w:rsid w:val="00810CB2"/>
    <w:rsid w:val="008123DE"/>
    <w:rsid w:val="0081354D"/>
    <w:rsid w:val="00814270"/>
    <w:rsid w:val="00826D80"/>
    <w:rsid w:val="00826F07"/>
    <w:rsid w:val="008275E4"/>
    <w:rsid w:val="00832B4B"/>
    <w:rsid w:val="008405E4"/>
    <w:rsid w:val="00844184"/>
    <w:rsid w:val="008479F2"/>
    <w:rsid w:val="00854D47"/>
    <w:rsid w:val="00861266"/>
    <w:rsid w:val="008664F4"/>
    <w:rsid w:val="0087360C"/>
    <w:rsid w:val="00875A76"/>
    <w:rsid w:val="00883E17"/>
    <w:rsid w:val="00890ACB"/>
    <w:rsid w:val="00893187"/>
    <w:rsid w:val="00895B77"/>
    <w:rsid w:val="008976FC"/>
    <w:rsid w:val="008A1183"/>
    <w:rsid w:val="008B6161"/>
    <w:rsid w:val="008C19DC"/>
    <w:rsid w:val="008C5E90"/>
    <w:rsid w:val="008D317F"/>
    <w:rsid w:val="008E426B"/>
    <w:rsid w:val="008E4B09"/>
    <w:rsid w:val="008F0CCF"/>
    <w:rsid w:val="008F2007"/>
    <w:rsid w:val="008F7852"/>
    <w:rsid w:val="00906819"/>
    <w:rsid w:val="0091136B"/>
    <w:rsid w:val="0092050D"/>
    <w:rsid w:val="0092206E"/>
    <w:rsid w:val="00923987"/>
    <w:rsid w:val="00924204"/>
    <w:rsid w:val="00926499"/>
    <w:rsid w:val="009269CF"/>
    <w:rsid w:val="009326BC"/>
    <w:rsid w:val="00936547"/>
    <w:rsid w:val="009425ED"/>
    <w:rsid w:val="009472E4"/>
    <w:rsid w:val="00947D02"/>
    <w:rsid w:val="009500C7"/>
    <w:rsid w:val="00956409"/>
    <w:rsid w:val="009576DD"/>
    <w:rsid w:val="00960360"/>
    <w:rsid w:val="00971CAE"/>
    <w:rsid w:val="00976410"/>
    <w:rsid w:val="00976AF3"/>
    <w:rsid w:val="00983A26"/>
    <w:rsid w:val="009845C0"/>
    <w:rsid w:val="00985B87"/>
    <w:rsid w:val="00985E6E"/>
    <w:rsid w:val="009924BF"/>
    <w:rsid w:val="00993D27"/>
    <w:rsid w:val="009950B3"/>
    <w:rsid w:val="009A1A74"/>
    <w:rsid w:val="009B1DCD"/>
    <w:rsid w:val="009B4654"/>
    <w:rsid w:val="009C1E7D"/>
    <w:rsid w:val="009C2B8A"/>
    <w:rsid w:val="009C31C2"/>
    <w:rsid w:val="009C3E22"/>
    <w:rsid w:val="009C4532"/>
    <w:rsid w:val="009D0EF4"/>
    <w:rsid w:val="009D603A"/>
    <w:rsid w:val="009E57D9"/>
    <w:rsid w:val="009F2852"/>
    <w:rsid w:val="009F2BA8"/>
    <w:rsid w:val="009F77D0"/>
    <w:rsid w:val="00A03D8A"/>
    <w:rsid w:val="00A070A4"/>
    <w:rsid w:val="00A171EC"/>
    <w:rsid w:val="00A36698"/>
    <w:rsid w:val="00A44BA1"/>
    <w:rsid w:val="00A469AE"/>
    <w:rsid w:val="00A50959"/>
    <w:rsid w:val="00A56446"/>
    <w:rsid w:val="00A570E5"/>
    <w:rsid w:val="00A57B74"/>
    <w:rsid w:val="00A57E3E"/>
    <w:rsid w:val="00A617E7"/>
    <w:rsid w:val="00A64B8C"/>
    <w:rsid w:val="00A71E86"/>
    <w:rsid w:val="00A74DB5"/>
    <w:rsid w:val="00A81F91"/>
    <w:rsid w:val="00A93F57"/>
    <w:rsid w:val="00A96E98"/>
    <w:rsid w:val="00AA46B0"/>
    <w:rsid w:val="00AA62B0"/>
    <w:rsid w:val="00AB1EED"/>
    <w:rsid w:val="00AB39F5"/>
    <w:rsid w:val="00AB665A"/>
    <w:rsid w:val="00AC3FF3"/>
    <w:rsid w:val="00AD4611"/>
    <w:rsid w:val="00AD6A28"/>
    <w:rsid w:val="00AE0974"/>
    <w:rsid w:val="00AE3169"/>
    <w:rsid w:val="00AF2ED0"/>
    <w:rsid w:val="00B0085F"/>
    <w:rsid w:val="00B01A39"/>
    <w:rsid w:val="00B02AAA"/>
    <w:rsid w:val="00B06E01"/>
    <w:rsid w:val="00B07B0D"/>
    <w:rsid w:val="00B1031D"/>
    <w:rsid w:val="00B12D9A"/>
    <w:rsid w:val="00B13017"/>
    <w:rsid w:val="00B13D0F"/>
    <w:rsid w:val="00B15E36"/>
    <w:rsid w:val="00B21783"/>
    <w:rsid w:val="00B25149"/>
    <w:rsid w:val="00B25BFE"/>
    <w:rsid w:val="00B30D1E"/>
    <w:rsid w:val="00B43FFC"/>
    <w:rsid w:val="00B45135"/>
    <w:rsid w:val="00B45327"/>
    <w:rsid w:val="00B4748E"/>
    <w:rsid w:val="00B5616D"/>
    <w:rsid w:val="00B57A74"/>
    <w:rsid w:val="00B630F2"/>
    <w:rsid w:val="00B66429"/>
    <w:rsid w:val="00B742AA"/>
    <w:rsid w:val="00B831BE"/>
    <w:rsid w:val="00B94D9C"/>
    <w:rsid w:val="00B95D36"/>
    <w:rsid w:val="00BA1F24"/>
    <w:rsid w:val="00BA5DE1"/>
    <w:rsid w:val="00BB1EEB"/>
    <w:rsid w:val="00BB2540"/>
    <w:rsid w:val="00BB3670"/>
    <w:rsid w:val="00BC0972"/>
    <w:rsid w:val="00BC3147"/>
    <w:rsid w:val="00BC70E7"/>
    <w:rsid w:val="00BC736F"/>
    <w:rsid w:val="00BD2920"/>
    <w:rsid w:val="00BD41A6"/>
    <w:rsid w:val="00BD4435"/>
    <w:rsid w:val="00BD7099"/>
    <w:rsid w:val="00BE01EB"/>
    <w:rsid w:val="00BE0F68"/>
    <w:rsid w:val="00BE3409"/>
    <w:rsid w:val="00BF0ABD"/>
    <w:rsid w:val="00BF180E"/>
    <w:rsid w:val="00BF4582"/>
    <w:rsid w:val="00C02C84"/>
    <w:rsid w:val="00C23438"/>
    <w:rsid w:val="00C41EB0"/>
    <w:rsid w:val="00C51D7A"/>
    <w:rsid w:val="00C53620"/>
    <w:rsid w:val="00C55D58"/>
    <w:rsid w:val="00C56EA6"/>
    <w:rsid w:val="00C60CC6"/>
    <w:rsid w:val="00C65245"/>
    <w:rsid w:val="00C666DA"/>
    <w:rsid w:val="00C67C10"/>
    <w:rsid w:val="00C71218"/>
    <w:rsid w:val="00C7432C"/>
    <w:rsid w:val="00C74A67"/>
    <w:rsid w:val="00C811EB"/>
    <w:rsid w:val="00C83751"/>
    <w:rsid w:val="00CA456E"/>
    <w:rsid w:val="00CA718C"/>
    <w:rsid w:val="00CB257C"/>
    <w:rsid w:val="00CB30BF"/>
    <w:rsid w:val="00CB44BF"/>
    <w:rsid w:val="00CB4C58"/>
    <w:rsid w:val="00CC2731"/>
    <w:rsid w:val="00CD3C03"/>
    <w:rsid w:val="00CD44A2"/>
    <w:rsid w:val="00CD4C35"/>
    <w:rsid w:val="00CD60D5"/>
    <w:rsid w:val="00CD7AE3"/>
    <w:rsid w:val="00CE1C17"/>
    <w:rsid w:val="00CE3735"/>
    <w:rsid w:val="00CF3458"/>
    <w:rsid w:val="00D01AA8"/>
    <w:rsid w:val="00D04907"/>
    <w:rsid w:val="00D0678D"/>
    <w:rsid w:val="00D12F83"/>
    <w:rsid w:val="00D15070"/>
    <w:rsid w:val="00D217F5"/>
    <w:rsid w:val="00D246F8"/>
    <w:rsid w:val="00D25DAB"/>
    <w:rsid w:val="00D3032F"/>
    <w:rsid w:val="00D40C42"/>
    <w:rsid w:val="00D433E6"/>
    <w:rsid w:val="00D447EA"/>
    <w:rsid w:val="00D44EB7"/>
    <w:rsid w:val="00D51F5A"/>
    <w:rsid w:val="00D5255A"/>
    <w:rsid w:val="00D5360F"/>
    <w:rsid w:val="00D57DE0"/>
    <w:rsid w:val="00D60494"/>
    <w:rsid w:val="00D64D0E"/>
    <w:rsid w:val="00D66741"/>
    <w:rsid w:val="00D66C98"/>
    <w:rsid w:val="00D70B20"/>
    <w:rsid w:val="00D759E2"/>
    <w:rsid w:val="00D91391"/>
    <w:rsid w:val="00D949BC"/>
    <w:rsid w:val="00D97A02"/>
    <w:rsid w:val="00DA58AB"/>
    <w:rsid w:val="00DB58B6"/>
    <w:rsid w:val="00DC767B"/>
    <w:rsid w:val="00DD26A8"/>
    <w:rsid w:val="00DD2F18"/>
    <w:rsid w:val="00DE1016"/>
    <w:rsid w:val="00DE2E37"/>
    <w:rsid w:val="00DF3932"/>
    <w:rsid w:val="00DF4C4E"/>
    <w:rsid w:val="00E031A1"/>
    <w:rsid w:val="00E121E7"/>
    <w:rsid w:val="00E152F4"/>
    <w:rsid w:val="00E16D96"/>
    <w:rsid w:val="00E23527"/>
    <w:rsid w:val="00E27FC7"/>
    <w:rsid w:val="00E35154"/>
    <w:rsid w:val="00E35349"/>
    <w:rsid w:val="00E35529"/>
    <w:rsid w:val="00E3732F"/>
    <w:rsid w:val="00E4020B"/>
    <w:rsid w:val="00E4297C"/>
    <w:rsid w:val="00E45736"/>
    <w:rsid w:val="00E458B8"/>
    <w:rsid w:val="00E45B6C"/>
    <w:rsid w:val="00E60440"/>
    <w:rsid w:val="00E60CBC"/>
    <w:rsid w:val="00E65C07"/>
    <w:rsid w:val="00E67E02"/>
    <w:rsid w:val="00E70683"/>
    <w:rsid w:val="00E7270F"/>
    <w:rsid w:val="00E8182E"/>
    <w:rsid w:val="00E83F63"/>
    <w:rsid w:val="00E8510C"/>
    <w:rsid w:val="00E90EA7"/>
    <w:rsid w:val="00EA2497"/>
    <w:rsid w:val="00EA62AF"/>
    <w:rsid w:val="00EC0CD3"/>
    <w:rsid w:val="00EC38EC"/>
    <w:rsid w:val="00ED60FD"/>
    <w:rsid w:val="00ED7A96"/>
    <w:rsid w:val="00EE1CF0"/>
    <w:rsid w:val="00EE5F5C"/>
    <w:rsid w:val="00EE7CC8"/>
    <w:rsid w:val="00EF130B"/>
    <w:rsid w:val="00EF2FF7"/>
    <w:rsid w:val="00F008CE"/>
    <w:rsid w:val="00F040CC"/>
    <w:rsid w:val="00F107A3"/>
    <w:rsid w:val="00F14D45"/>
    <w:rsid w:val="00F15E87"/>
    <w:rsid w:val="00F1671C"/>
    <w:rsid w:val="00F17803"/>
    <w:rsid w:val="00F21039"/>
    <w:rsid w:val="00F22671"/>
    <w:rsid w:val="00F23ACE"/>
    <w:rsid w:val="00F2457F"/>
    <w:rsid w:val="00F24B11"/>
    <w:rsid w:val="00F309AA"/>
    <w:rsid w:val="00F309BB"/>
    <w:rsid w:val="00F30A54"/>
    <w:rsid w:val="00F31C9E"/>
    <w:rsid w:val="00F37402"/>
    <w:rsid w:val="00F41461"/>
    <w:rsid w:val="00F447C3"/>
    <w:rsid w:val="00F45E18"/>
    <w:rsid w:val="00F51D90"/>
    <w:rsid w:val="00F52876"/>
    <w:rsid w:val="00F557A3"/>
    <w:rsid w:val="00F56B62"/>
    <w:rsid w:val="00F57F46"/>
    <w:rsid w:val="00F64503"/>
    <w:rsid w:val="00F64B65"/>
    <w:rsid w:val="00F65FCC"/>
    <w:rsid w:val="00F725B1"/>
    <w:rsid w:val="00F73DA0"/>
    <w:rsid w:val="00F80E4C"/>
    <w:rsid w:val="00F9082B"/>
    <w:rsid w:val="00F96D74"/>
    <w:rsid w:val="00F97BC4"/>
    <w:rsid w:val="00FA1311"/>
    <w:rsid w:val="00FA421F"/>
    <w:rsid w:val="00FA6EA6"/>
    <w:rsid w:val="00FB15AA"/>
    <w:rsid w:val="00FB3288"/>
    <w:rsid w:val="00FB7653"/>
    <w:rsid w:val="00FC1BE9"/>
    <w:rsid w:val="00FC3787"/>
    <w:rsid w:val="00FC6EC5"/>
    <w:rsid w:val="00FC759A"/>
    <w:rsid w:val="00FC7DF6"/>
    <w:rsid w:val="00FD147E"/>
    <w:rsid w:val="00FD3773"/>
    <w:rsid w:val="00FD5571"/>
    <w:rsid w:val="00FD61DB"/>
    <w:rsid w:val="00FD7E3C"/>
    <w:rsid w:val="00FE0001"/>
    <w:rsid w:val="00FE1F04"/>
    <w:rsid w:val="00FF09E9"/>
    <w:rsid w:val="00FF0EC1"/>
    <w:rsid w:val="00FF10AD"/>
    <w:rsid w:val="00FF1D73"/>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16D"/>
    <w:pPr>
      <w:spacing w:before="240"/>
      <w:jc w:val="both"/>
    </w:pPr>
    <w:rPr>
      <w:rFonts w:ascii="Arial" w:hAnsi="Arial"/>
      <w:sz w:val="22"/>
      <w:szCs w:val="24"/>
    </w:rPr>
  </w:style>
  <w:style w:type="paragraph" w:styleId="Ttulo1">
    <w:name w:val="heading 1"/>
    <w:basedOn w:val="Normal"/>
    <w:next w:val="Normal"/>
    <w:qFormat/>
    <w:rsid w:val="00B5616D"/>
    <w:pPr>
      <w:keepNext/>
      <w:spacing w:after="60"/>
      <w:outlineLvl w:val="0"/>
    </w:pPr>
    <w:rPr>
      <w:rFonts w:cs="Arial"/>
      <w:b/>
      <w:bCs/>
      <w:kern w:val="32"/>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21">
    <w:name w:val="Corpo de texto 21"/>
    <w:basedOn w:val="Normal"/>
    <w:rsid w:val="00752B68"/>
    <w:pPr>
      <w:overflowPunct w:val="0"/>
      <w:autoSpaceDE w:val="0"/>
      <w:autoSpaceDN w:val="0"/>
      <w:adjustRightInd w:val="0"/>
      <w:spacing w:before="0" w:line="360" w:lineRule="auto"/>
      <w:textAlignment w:val="baseline"/>
    </w:pPr>
    <w:rPr>
      <w:rFonts w:ascii="Tahoma" w:hAnsi="Tahoma"/>
      <w:sz w:val="20"/>
      <w:szCs w:val="20"/>
    </w:rPr>
  </w:style>
  <w:style w:type="paragraph" w:customStyle="1" w:styleId="StyleHeading1Centered">
    <w:name w:val="Style Heading 1 + Centered"/>
    <w:basedOn w:val="Ttulo1"/>
    <w:rsid w:val="00B5616D"/>
    <w:pPr>
      <w:numPr>
        <w:numId w:val="1"/>
      </w:numPr>
      <w:spacing w:after="120" w:line="360" w:lineRule="auto"/>
      <w:ind w:left="431" w:hanging="431"/>
      <w:jc w:val="center"/>
    </w:pPr>
    <w:rPr>
      <w:rFonts w:cs="Times New Roman"/>
      <w:caps/>
      <w:sz w:val="22"/>
      <w:szCs w:val="20"/>
    </w:rPr>
  </w:style>
  <w:style w:type="paragraph" w:styleId="Mapadodocumento">
    <w:name w:val="Document Map"/>
    <w:basedOn w:val="Normal"/>
    <w:semiHidden/>
    <w:rsid w:val="00B5616D"/>
    <w:pPr>
      <w:shd w:val="clear" w:color="auto" w:fill="000080"/>
    </w:pPr>
    <w:rPr>
      <w:rFonts w:ascii="Tahoma" w:hAnsi="Tahoma" w:cs="Tahoma"/>
      <w:sz w:val="20"/>
      <w:szCs w:val="20"/>
    </w:rPr>
  </w:style>
  <w:style w:type="paragraph" w:styleId="Cabealho">
    <w:name w:val="header"/>
    <w:basedOn w:val="Normal"/>
    <w:rsid w:val="00B5616D"/>
    <w:pPr>
      <w:tabs>
        <w:tab w:val="center" w:pos="4252"/>
        <w:tab w:val="right" w:pos="8504"/>
      </w:tabs>
    </w:pPr>
  </w:style>
  <w:style w:type="character" w:customStyle="1" w:styleId="CabealhoCarcter">
    <w:name w:val="Cabeçalho Carácter"/>
    <w:rsid w:val="00B5616D"/>
    <w:rPr>
      <w:rFonts w:ascii="Arial" w:hAnsi="Arial"/>
      <w:sz w:val="22"/>
      <w:szCs w:val="24"/>
    </w:rPr>
  </w:style>
  <w:style w:type="paragraph" w:styleId="Rodap">
    <w:name w:val="footer"/>
    <w:aliases w:val="Footer1"/>
    <w:basedOn w:val="Normal"/>
    <w:uiPriority w:val="99"/>
    <w:rsid w:val="00B5616D"/>
    <w:pPr>
      <w:tabs>
        <w:tab w:val="center" w:pos="4252"/>
        <w:tab w:val="right" w:pos="8504"/>
      </w:tabs>
    </w:pPr>
  </w:style>
  <w:style w:type="character" w:customStyle="1" w:styleId="RodapCarcter">
    <w:name w:val="Rodapé Carácter"/>
    <w:aliases w:val="Footer1 Carácter1"/>
    <w:uiPriority w:val="99"/>
    <w:rsid w:val="00B5616D"/>
    <w:rPr>
      <w:rFonts w:ascii="Arial" w:hAnsi="Arial"/>
      <w:sz w:val="22"/>
      <w:szCs w:val="24"/>
    </w:rPr>
  </w:style>
  <w:style w:type="character" w:styleId="Refdecomentrio">
    <w:name w:val="annotation reference"/>
    <w:semiHidden/>
    <w:rsid w:val="00B5616D"/>
    <w:rPr>
      <w:sz w:val="16"/>
      <w:szCs w:val="16"/>
    </w:rPr>
  </w:style>
  <w:style w:type="paragraph" w:styleId="Textodecomentrio">
    <w:name w:val="annotation text"/>
    <w:basedOn w:val="Normal"/>
    <w:semiHidden/>
    <w:rsid w:val="00B5616D"/>
    <w:rPr>
      <w:sz w:val="20"/>
      <w:szCs w:val="20"/>
    </w:rPr>
  </w:style>
  <w:style w:type="character" w:customStyle="1" w:styleId="TextodecomentrioCarcter">
    <w:name w:val="Texto de comentário Carácter"/>
    <w:rsid w:val="00B5616D"/>
    <w:rPr>
      <w:rFonts w:ascii="Arial" w:hAnsi="Arial"/>
    </w:rPr>
  </w:style>
  <w:style w:type="paragraph" w:styleId="Assuntodecomentrio">
    <w:name w:val="annotation subject"/>
    <w:basedOn w:val="Textodecomentrio"/>
    <w:next w:val="Textodecomentrio"/>
    <w:rsid w:val="00B5616D"/>
    <w:rPr>
      <w:b/>
      <w:bCs/>
    </w:rPr>
  </w:style>
  <w:style w:type="character" w:customStyle="1" w:styleId="AssuntodecomentrioCarcter">
    <w:name w:val="Assunto de comentário Carácter"/>
    <w:rsid w:val="00B5616D"/>
    <w:rPr>
      <w:rFonts w:ascii="Arial" w:hAnsi="Arial"/>
      <w:b/>
      <w:bCs/>
    </w:rPr>
  </w:style>
  <w:style w:type="paragraph" w:styleId="Textodebalo">
    <w:name w:val="Balloon Text"/>
    <w:basedOn w:val="Normal"/>
    <w:rsid w:val="00B5616D"/>
    <w:pPr>
      <w:spacing w:before="0"/>
    </w:pPr>
    <w:rPr>
      <w:rFonts w:ascii="Tahoma" w:hAnsi="Tahoma" w:cs="Tahoma"/>
      <w:sz w:val="16"/>
      <w:szCs w:val="16"/>
    </w:rPr>
  </w:style>
  <w:style w:type="character" w:customStyle="1" w:styleId="TextodebaloCarcter">
    <w:name w:val="Texto de balão Carácter"/>
    <w:rsid w:val="00B5616D"/>
    <w:rPr>
      <w:rFonts w:ascii="Tahoma" w:hAnsi="Tahoma" w:cs="Tahoma"/>
      <w:sz w:val="16"/>
      <w:szCs w:val="16"/>
    </w:rPr>
  </w:style>
  <w:style w:type="character" w:styleId="Nmerodepgina">
    <w:name w:val="page number"/>
    <w:basedOn w:val="Tipodeletrapredefinidodopargrafo"/>
    <w:semiHidden/>
    <w:rsid w:val="00B5616D"/>
  </w:style>
  <w:style w:type="paragraph" w:customStyle="1" w:styleId="Paula">
    <w:name w:val="Paula"/>
    <w:basedOn w:val="Normal"/>
    <w:rsid w:val="00F37402"/>
    <w:pPr>
      <w:widowControl w:val="0"/>
      <w:spacing w:before="0" w:line="300" w:lineRule="atLeast"/>
    </w:pPr>
    <w:rPr>
      <w:rFonts w:ascii="NewCenturySchlbk" w:hAnsi="NewCenturySchlbk"/>
      <w:szCs w:val="20"/>
    </w:rPr>
  </w:style>
  <w:style w:type="paragraph" w:customStyle="1" w:styleId="NormalMCB">
    <w:name w:val="NormalMCB"/>
    <w:basedOn w:val="Normal"/>
    <w:rsid w:val="007B0EF8"/>
    <w:pPr>
      <w:spacing w:before="0" w:line="360" w:lineRule="auto"/>
    </w:pPr>
    <w:rPr>
      <w:rFonts w:ascii="Tahoma" w:hAnsi="Tahoma"/>
      <w:sz w:val="20"/>
    </w:rPr>
  </w:style>
  <w:style w:type="paragraph" w:customStyle="1" w:styleId="Corpodetexto22">
    <w:name w:val="Corpo de texto 22"/>
    <w:basedOn w:val="Normal"/>
    <w:rsid w:val="00014F46"/>
    <w:pPr>
      <w:overflowPunct w:val="0"/>
      <w:autoSpaceDE w:val="0"/>
      <w:autoSpaceDN w:val="0"/>
      <w:adjustRightInd w:val="0"/>
      <w:spacing w:before="0" w:line="360" w:lineRule="auto"/>
      <w:textAlignment w:val="baseline"/>
    </w:pPr>
    <w:rPr>
      <w:rFonts w:ascii="Tahoma" w:hAnsi="Tahoma"/>
      <w:sz w:val="20"/>
      <w:szCs w:val="20"/>
    </w:rPr>
  </w:style>
  <w:style w:type="paragraph" w:customStyle="1" w:styleId="Corpodetexto210">
    <w:name w:val="Corpo de texto 21"/>
    <w:basedOn w:val="Normal"/>
    <w:rsid w:val="00F23ACE"/>
    <w:pPr>
      <w:overflowPunct w:val="0"/>
      <w:autoSpaceDE w:val="0"/>
      <w:autoSpaceDN w:val="0"/>
      <w:adjustRightInd w:val="0"/>
      <w:spacing w:before="0" w:line="360" w:lineRule="auto"/>
      <w:textAlignment w:val="baseline"/>
    </w:pPr>
    <w:rPr>
      <w:rFonts w:ascii="Tahoma" w:hAnsi="Tahoma"/>
      <w:sz w:val="20"/>
      <w:szCs w:val="20"/>
    </w:rPr>
  </w:style>
  <w:style w:type="paragraph" w:styleId="ndice6">
    <w:name w:val="toc 6"/>
    <w:basedOn w:val="Normal"/>
    <w:next w:val="Normal"/>
    <w:autoRedefine/>
    <w:semiHidden/>
    <w:rsid w:val="002F5768"/>
    <w:pPr>
      <w:spacing w:before="0"/>
      <w:ind w:left="1200"/>
      <w:jc w:val="left"/>
    </w:pPr>
    <w:rPr>
      <w:rFonts w:ascii="Times New Roman" w:hAnsi="Times New Roman"/>
      <w:sz w:val="24"/>
      <w:szCs w:val="21"/>
    </w:rPr>
  </w:style>
  <w:style w:type="paragraph" w:styleId="Corpodetexto">
    <w:name w:val="Body Text"/>
    <w:aliases w:val="corpo de texto hps"/>
    <w:basedOn w:val="Normal"/>
    <w:link w:val="CorpodetextoCarcter"/>
    <w:semiHidden/>
    <w:rsid w:val="00D57DE0"/>
    <w:pPr>
      <w:spacing w:before="0" w:after="120"/>
    </w:pPr>
    <w:rPr>
      <w:rFonts w:ascii="Comic Sans MS" w:hAnsi="Comic Sans MS"/>
      <w:sz w:val="24"/>
    </w:rPr>
  </w:style>
  <w:style w:type="character" w:customStyle="1" w:styleId="CorpodetextoCarcter">
    <w:name w:val="Corpo de texto Carácter"/>
    <w:aliases w:val="corpo de texto hps Carácter"/>
    <w:link w:val="Corpodetexto"/>
    <w:semiHidden/>
    <w:rsid w:val="00D57DE0"/>
    <w:rPr>
      <w:rFonts w:ascii="Comic Sans MS" w:hAnsi="Comic Sans MS"/>
      <w:sz w:val="24"/>
      <w:szCs w:val="24"/>
    </w:rPr>
  </w:style>
  <w:style w:type="paragraph" w:styleId="Corpodetexto2">
    <w:name w:val="Body Text 2"/>
    <w:basedOn w:val="Normal"/>
    <w:link w:val="Corpodetexto2Carcter"/>
    <w:uiPriority w:val="99"/>
    <w:semiHidden/>
    <w:unhideWhenUsed/>
    <w:rsid w:val="005A6A77"/>
    <w:pPr>
      <w:spacing w:after="120" w:line="480" w:lineRule="auto"/>
    </w:pPr>
  </w:style>
  <w:style w:type="character" w:customStyle="1" w:styleId="Corpodetexto2Carcter">
    <w:name w:val="Corpo de texto 2 Carácter"/>
    <w:link w:val="Corpodetexto2"/>
    <w:uiPriority w:val="99"/>
    <w:semiHidden/>
    <w:rsid w:val="005A6A77"/>
    <w:rPr>
      <w:rFonts w:ascii="Arial" w:hAnsi="Arial"/>
      <w:sz w:val="22"/>
      <w:szCs w:val="24"/>
    </w:rPr>
  </w:style>
  <w:style w:type="character" w:styleId="Hiperligao">
    <w:name w:val="Hyperlink"/>
    <w:semiHidden/>
    <w:unhideWhenUsed/>
    <w:rsid w:val="009F2852"/>
    <w:rPr>
      <w:color w:val="0000FF"/>
      <w:u w:val="single"/>
    </w:rPr>
  </w:style>
  <w:style w:type="paragraph" w:styleId="PargrafodaLista">
    <w:name w:val="List Paragraph"/>
    <w:basedOn w:val="Normal"/>
    <w:uiPriority w:val="34"/>
    <w:qFormat/>
    <w:rsid w:val="00E35349"/>
    <w:pPr>
      <w:spacing w:before="0" w:after="200" w:line="276" w:lineRule="auto"/>
      <w:ind w:left="720"/>
      <w:contextualSpacing/>
      <w:jc w:val="left"/>
    </w:pPr>
    <w:rPr>
      <w:rFonts w:ascii="Calibri" w:eastAsia="Calibri" w:hAnsi="Calibri"/>
      <w:szCs w:val="22"/>
      <w:lang w:eastAsia="en-US"/>
    </w:rPr>
  </w:style>
  <w:style w:type="paragraph" w:customStyle="1" w:styleId="info">
    <w:name w:val="info"/>
    <w:basedOn w:val="Normal"/>
    <w:rsid w:val="00315C22"/>
    <w:pPr>
      <w:spacing w:before="120"/>
    </w:pPr>
    <w:rPr>
      <w:rFonts w:ascii="Times" w:hAnsi="Times"/>
      <w:szCs w:val="20"/>
    </w:rPr>
  </w:style>
  <w:style w:type="paragraph" w:customStyle="1" w:styleId="Avanodecorpodetexto21">
    <w:name w:val="Avanço de corpo de texto 21"/>
    <w:basedOn w:val="Normal"/>
    <w:rsid w:val="00315C22"/>
    <w:pPr>
      <w:suppressAutoHyphens/>
      <w:spacing w:before="0" w:after="120" w:line="480" w:lineRule="auto"/>
      <w:ind w:left="283"/>
      <w:jc w:val="left"/>
    </w:pPr>
    <w:rPr>
      <w:rFonts w:ascii="Times New Roman" w:hAnsi="Times New Roman"/>
      <w:sz w:val="24"/>
      <w:lang w:eastAsia="ar-SA"/>
    </w:rPr>
  </w:style>
  <w:style w:type="table" w:styleId="Tabelacomgrelha">
    <w:name w:val="Table Grid"/>
    <w:basedOn w:val="Tabelanormal"/>
    <w:uiPriority w:val="59"/>
    <w:rsid w:val="00795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0606706">
      <w:bodyDiv w:val="1"/>
      <w:marLeft w:val="0"/>
      <w:marRight w:val="0"/>
      <w:marTop w:val="0"/>
      <w:marBottom w:val="0"/>
      <w:divBdr>
        <w:top w:val="none" w:sz="0" w:space="0" w:color="auto"/>
        <w:left w:val="none" w:sz="0" w:space="0" w:color="auto"/>
        <w:bottom w:val="none" w:sz="0" w:space="0" w:color="auto"/>
        <w:right w:val="none" w:sz="0" w:space="0" w:color="auto"/>
      </w:divBdr>
    </w:div>
    <w:div w:id="506752361">
      <w:bodyDiv w:val="1"/>
      <w:marLeft w:val="0"/>
      <w:marRight w:val="0"/>
      <w:marTop w:val="0"/>
      <w:marBottom w:val="0"/>
      <w:divBdr>
        <w:top w:val="none" w:sz="0" w:space="0" w:color="auto"/>
        <w:left w:val="none" w:sz="0" w:space="0" w:color="auto"/>
        <w:bottom w:val="none" w:sz="0" w:space="0" w:color="auto"/>
        <w:right w:val="none" w:sz="0" w:space="0" w:color="auto"/>
      </w:divBdr>
    </w:div>
    <w:div w:id="766509223">
      <w:bodyDiv w:val="1"/>
      <w:marLeft w:val="0"/>
      <w:marRight w:val="0"/>
      <w:marTop w:val="0"/>
      <w:marBottom w:val="0"/>
      <w:divBdr>
        <w:top w:val="none" w:sz="0" w:space="0" w:color="auto"/>
        <w:left w:val="none" w:sz="0" w:space="0" w:color="auto"/>
        <w:bottom w:val="none" w:sz="0" w:space="0" w:color="auto"/>
        <w:right w:val="none" w:sz="0" w:space="0" w:color="auto"/>
      </w:divBdr>
    </w:div>
    <w:div w:id="1170873850">
      <w:bodyDiv w:val="1"/>
      <w:marLeft w:val="0"/>
      <w:marRight w:val="0"/>
      <w:marTop w:val="0"/>
      <w:marBottom w:val="0"/>
      <w:divBdr>
        <w:top w:val="none" w:sz="0" w:space="0" w:color="auto"/>
        <w:left w:val="none" w:sz="0" w:space="0" w:color="auto"/>
        <w:bottom w:val="none" w:sz="0" w:space="0" w:color="auto"/>
        <w:right w:val="none" w:sz="0" w:space="0" w:color="auto"/>
      </w:divBdr>
    </w:div>
    <w:div w:id="1299913776">
      <w:bodyDiv w:val="1"/>
      <w:marLeft w:val="0"/>
      <w:marRight w:val="0"/>
      <w:marTop w:val="0"/>
      <w:marBottom w:val="0"/>
      <w:divBdr>
        <w:top w:val="none" w:sz="0" w:space="0" w:color="auto"/>
        <w:left w:val="none" w:sz="0" w:space="0" w:color="auto"/>
        <w:bottom w:val="none" w:sz="0" w:space="0" w:color="auto"/>
        <w:right w:val="none" w:sz="0" w:space="0" w:color="auto"/>
      </w:divBdr>
    </w:div>
    <w:div w:id="2037849598">
      <w:bodyDiv w:val="1"/>
      <w:marLeft w:val="0"/>
      <w:marRight w:val="0"/>
      <w:marTop w:val="0"/>
      <w:marBottom w:val="0"/>
      <w:divBdr>
        <w:top w:val="none" w:sz="0" w:space="0" w:color="auto"/>
        <w:left w:val="none" w:sz="0" w:space="0" w:color="auto"/>
        <w:bottom w:val="none" w:sz="0" w:space="0" w:color="auto"/>
        <w:right w:val="none" w:sz="0" w:space="0" w:color="auto"/>
      </w:divBdr>
    </w:div>
    <w:div w:id="211747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33013-2D09-439A-A011-B68BADC70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4047</Words>
  <Characters>21855</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FICHA F</vt:lpstr>
    </vt:vector>
  </TitlesOfParts>
  <Company/>
  <LinksUpToDate>false</LinksUpToDate>
  <CharactersWithSpaces>25851</CharactersWithSpaces>
  <SharedDoc>false</SharedDoc>
  <HLinks>
    <vt:vector size="6" baseType="variant">
      <vt:variant>
        <vt:i4>2490401</vt:i4>
      </vt:variant>
      <vt:variant>
        <vt:i4>5</vt:i4>
      </vt:variant>
      <vt:variant>
        <vt:i4>0</vt:i4>
      </vt:variant>
      <vt:variant>
        <vt:i4>5</vt:i4>
      </vt:variant>
      <vt:variant>
        <vt:lpwstr>http://www.portugal.gov.pt/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F</dc:title>
  <dc:creator>Ana Catarina Texugo</dc:creator>
  <cp:lastModifiedBy>lidia.lourenco</cp:lastModifiedBy>
  <cp:revision>2</cp:revision>
  <cp:lastPrinted>2015-01-06T11:59:00Z</cp:lastPrinted>
  <dcterms:created xsi:type="dcterms:W3CDTF">2016-06-15T13:26:00Z</dcterms:created>
  <dcterms:modified xsi:type="dcterms:W3CDTF">2016-06-15T13:26:00Z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Doc_DocID">
    <vt:lpwstr>924762</vt:lpwstr>
  </property>
  <property fmtid="{D5CDD505-2E9C-101B-9397-08002B2CF9AE}" pid="3" name="FileDoc_DocFileID">
    <vt:lpwstr>1128311</vt:lpwstr>
  </property>
</Properties>
</file>